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P-release kinetics as a predictor for P-availability in Swiss cropping systems</w:t>
      </w:r>
    </w:p>
    <w:p>
      <w:pPr>
        <w:pStyle w:val="Author"/>
      </w:pPr>
      <w:r>
        <w:t xml:space="preserve">Marc Jerónimo Pérez y Ropero</w:t>
      </w:r>
    </w:p>
    <w:p>
      <w:pPr>
        <w:pStyle w:val="Author"/>
      </w:pPr>
      <w:r>
        <w:t xml:space="preserve">Frank Liebisch</w:t>
      </w:r>
    </w:p>
    <w:p>
      <w:pPr>
        <w:pStyle w:val="Author"/>
      </w:pPr>
      <w:r>
        <w:t xml:space="preserve">Emmanuel Frossard</w:t>
      </w:r>
    </w:p>
    <w:p>
      <w:pPr>
        <w:pStyle w:val="Date"/>
      </w:pPr>
      <w:r>
        <w:t xml:space="preserve">2026-04-16</w:t>
      </w:r>
    </w:p>
    <w:p>
      <w:pPr>
        <w:pStyle w:val="AbstractTitle"/>
      </w:pPr>
      <w:r>
        <w:t xml:space="preserve">Abstract</w:t>
      </w:r>
    </w:p>
    <w:p>
      <w:pPr>
        <w:pStyle w:val="Abstract"/>
      </w:pPr>
      <w:r>
        <w:t xml:space="preserve">Traditional static soil tests (STPs) for phosphorus (P) often fail to predict agronomic outcomes because they do not account for the kinetic nature of P supply to plant roots. This study investigated whether P desorption kinetic parameters could serve as more effective predictors. Using soils from the long-term Swiss agricultural experiment (STYCS), a sequential extraction method was refined and modeled with a non-linear approach to derive the maximum equilibrium P intensity (</w:t>
      </w:r>
      <m:oMath>
        <m:sSub>
          <m:e>
            <m:r>
              <m:t>P</m:t>
            </m:r>
          </m:e>
          <m:sub>
            <m:r>
              <m:t>d</m:t>
            </m:r>
            <m:r>
              <m:t>e</m:t>
            </m:r>
            <m:r>
              <m:t>s</m:t>
            </m:r>
            <m:r>
              <m:t>o</m:t>
            </m:r>
            <m:r>
              <m:t>r</m:t>
            </m:r>
            <m:r>
              <m:t>b</m:t>
            </m:r>
          </m:sub>
        </m:sSub>
      </m:oMath>
      <w:r>
        <w:t xml:space="preserve">) and a rate constant (</w:t>
      </w:r>
      <m:oMath>
        <m:r>
          <m:t>k</m:t>
        </m:r>
      </m:oMath>
      <w:r>
        <w:t xml:space="preserve">). The predictive power of these kinetic parameters was compared against standard Swiss STPs (</w:t>
      </w:r>
      <m:oMath>
        <m:sSub>
          <m:e>
            <m:r>
              <m:t>P</m:t>
            </m:r>
          </m:e>
          <m:sub>
            <m:r>
              <m:t>C</m:t>
            </m:r>
            <m:sSub>
              <m:e>
                <m:r>
                  <m:t>O</m:t>
                </m:r>
              </m:e>
              <m:sub>
                <m:r>
                  <m:t>2</m:t>
                </m:r>
              </m:sub>
            </m:sSub>
          </m:sub>
        </m:sSub>
      </m:oMath>
      <w:r>
        <w:t xml:space="preserve"> </w:t>
      </w:r>
      <w:r>
        <w:t xml:space="preserve">and</w:t>
      </w:r>
      <w:r>
        <w:t xml:space="preserve"> </w:t>
      </w:r>
      <m:oMath>
        <m:sSub>
          <m:e>
            <m:r>
              <m:t>P</m:t>
            </m:r>
          </m:e>
          <m:sub>
            <m:r>
              <m:t>A</m:t>
            </m:r>
            <m:r>
              <m:t>A</m:t>
            </m:r>
            <m:r>
              <m:t>E</m:t>
            </m:r>
            <m:r>
              <m:t>10</m:t>
            </m:r>
          </m:sub>
        </m:sSub>
      </m:oMath>
      <w:r>
        <w:t xml:space="preserve">) using linear mixed-effects models. For predicting site-normalized yield, STPs were superior, while for national-normalized yield and P-uptake, both methods performed poorly due to dominant pedoclimatic factors. However, the kinetic model demonstrated exceptional success in predicting the long-term P-Balance, with</w:t>
      </w:r>
      <w:r>
        <w:t xml:space="preserve"> </w:t>
      </w:r>
      <m:oMath>
        <m:sSub>
          <m:e>
            <m:r>
              <m:t>P</m:t>
            </m:r>
          </m:e>
          <m:sub>
            <m:r>
              <m:t>d</m:t>
            </m:r>
            <m:r>
              <m:t>e</m:t>
            </m:r>
            <m:r>
              <m:t>s</m:t>
            </m:r>
            <m:r>
              <m:t>o</m:t>
            </m:r>
            <m:r>
              <m:t>r</m:t>
            </m:r>
            <m:r>
              <m:t>b</m:t>
            </m:r>
          </m:sub>
        </m:sSub>
      </m:oMath>
      <w:r>
        <w:t xml:space="preserve"> </w:t>
      </w:r>
      <w:r>
        <w:t xml:space="preserve">alone explaining 57% of the variance, whereas STP models showed no predictive power. We conclude that while traditional STPs remain adequate for short-term within-field fertility, kinetic parameters serve as a vastly superior functional proxy for assessing the long-term P status and sustainability of agricultural soils.</w:t>
      </w:r>
    </w:p>
    <w:bookmarkStart w:id="17" w:name="introduction"/>
    <w:p>
      <w:pPr>
        <w:pStyle w:val="Heading1"/>
      </w:pPr>
      <w:r>
        <w:t xml:space="preserve">1. Introduction</w:t>
      </w:r>
    </w:p>
    <w:bookmarkStart w:id="9" w:name="the-agronomic-dilemma-of-phosphorus"/>
    <w:p>
      <w:pPr>
        <w:pStyle w:val="Heading2"/>
      </w:pPr>
      <w:r>
        <w:t xml:space="preserve">1.1 The Agronomic Dilemma of Phosphorus</w:t>
      </w:r>
    </w:p>
    <w:p>
      <w:pPr>
        <w:pStyle w:val="FirstParagraph"/>
      </w:pPr>
      <w:r>
        <w:t xml:space="preserve">Phosphorus (P) is an essential macronutrient for all life, yet its management in agricultural systems presents a profound dilemma. In the soil solution, P exists almost exclusively as highly reactive orthophosphate anions (</w:t>
      </w:r>
      <m:oMath>
        <m:r>
          <m:t>H</m:t>
        </m:r>
        <m:r>
          <m:t>P</m:t>
        </m:r>
        <m:sSubSup>
          <m:e>
            <m:r>
              <m:t>O</m:t>
            </m:r>
          </m:e>
          <m:sub>
            <m:r>
              <m:t>4</m:t>
            </m:r>
          </m:sub>
          <m:sup>
            <m:r>
              <m:t>2</m:t>
            </m:r>
            <m:r>
              <m:rPr>
                <m:sty m:val="p"/>
              </m:rPr>
              <m:t>−</m:t>
            </m:r>
          </m:sup>
        </m:sSubSup>
      </m:oMath>
      <w:r>
        <w:t xml:space="preserve"> </w:t>
      </w:r>
      <w:r>
        <w:t xml:space="preserve">or</w:t>
      </w:r>
      <w:r>
        <w:t xml:space="preserve"> </w:t>
      </w:r>
      <m:oMath>
        <m:sSub>
          <m:e>
            <m:r>
              <m:t>H</m:t>
            </m:r>
          </m:e>
          <m:sub>
            <m:r>
              <m:t>2</m:t>
            </m:r>
          </m:sub>
        </m:sSub>
        <m:r>
          <m:t>P</m:t>
        </m:r>
        <m:sSubSup>
          <m:e>
            <m:r>
              <m:t>O</m:t>
            </m:r>
          </m:e>
          <m:sub>
            <m:r>
              <m:t>4</m:t>
            </m:r>
          </m:sub>
          <m:sup>
            <m:r>
              <m:rPr>
                <m:sty m:val="p"/>
              </m:rPr>
              <m:t>−</m:t>
            </m:r>
          </m:sup>
        </m:sSubSup>
      </m:oMath>
      <w:r>
        <w:t xml:space="preserve">). These dissolved species are rapidly immobilized—either adsorbed onto the surfaces of clays and metal oxides or precipitated with cations like calcium, iron, and aluminum to form minerals of low solubility</w:t>
      </w:r>
      <w:r>
        <w:t xml:space="preserve"> </w:t>
      </w:r>
      <w:r>
        <w:t xml:space="preserve">(Brady &amp; Weil, 2016; Sposito, 2008)</w:t>
      </w:r>
      <w:r>
        <w:t xml:space="preserve">. Consequently, the total soil P stock is vast, but the infinitesimally small fraction dissolved in the soil solution—the only form directly available to plant roots—is highly transient.</w:t>
      </w:r>
    </w:p>
    <w:bookmarkEnd w:id="9"/>
    <w:bookmarkStart w:id="10" w:name="X891fb8519b925108acbdb365f8a4ecd93eedf25"/>
    <w:p>
      <w:pPr>
        <w:pStyle w:val="Heading2"/>
      </w:pPr>
      <w:r>
        <w:t xml:space="preserve">1.2 Conceptual Frameworks vs. Operational Definitions</w:t>
      </w:r>
    </w:p>
    <w:p>
      <w:pPr>
        <w:pStyle w:val="FirstParagraph"/>
      </w:pPr>
      <w:r>
        <w:t xml:space="preserve">To conceptualize plant P availability, soil science relies on three fundamental thermodynamic and mass-balance parameters</w:t>
      </w:r>
      <w:r>
        <w:t xml:space="preserve"> </w:t>
      </w:r>
      <w:r>
        <w:t xml:space="preserve">(Frossard et al., 2000)</w:t>
      </w:r>
      <w:r>
        <w:t xml:space="preserve">: 1.</w:t>
      </w:r>
      <w:r>
        <w:t xml:space="preserve"> </w:t>
      </w:r>
      <w:r>
        <w:rPr>
          <w:b/>
          <w:bCs/>
        </w:rPr>
        <w:t xml:space="preserve">P-Intensity (</w:t>
      </w:r>
      <m:oMath>
        <m:r>
          <m:t>I</m:t>
        </m:r>
      </m:oMath>
      <w:r>
        <w:t xml:space="preserve">): The thermodynamic energy state, or chemical activity, of P in the soil solution at any given moment. 2.</w:t>
      </w:r>
      <w:r>
        <w:t xml:space="preserve"> </w:t>
      </w:r>
      <w:r>
        <w:rPr>
          <w:b/>
          <w:bCs/>
        </w:rPr>
        <w:t xml:space="preserve">P-Quantity or Capacity (</w:t>
      </w:r>
      <m:oMath>
        <m:r>
          <m:t>Q</m:t>
        </m:r>
      </m:oMath>
      <w:r>
        <w:t xml:space="preserve">): The physical mass of solid-phase P that is readily desorbable and can replenish the soil solution. 3.</w:t>
      </w:r>
      <w:r>
        <w:t xml:space="preserve"> </w:t>
      </w:r>
      <w:r>
        <w:rPr>
          <w:b/>
          <w:bCs/>
        </w:rPr>
        <w:t xml:space="preserve">Phosphorus Buffering Capacity (PBC):</w:t>
      </w:r>
      <w:r>
        <w:t xml:space="preserve"> </w:t>
      </w:r>
      <w:r>
        <w:t xml:space="preserve">The resistance of the soil to changes in P-Intensity, mathematically represented as the derivative of Quantity with respect to Intensity (</w:t>
      </w:r>
      <m:oMath>
        <m:r>
          <m:t>d</m:t>
        </m:r>
        <m:r>
          <m:t>Q</m:t>
        </m:r>
        <m:r>
          <m:rPr>
            <m:sty m:val="p"/>
          </m:rPr>
          <m:t>/</m:t>
        </m:r>
        <m:r>
          <m:t>d</m:t>
        </m:r>
        <m:r>
          <m:t>I</m:t>
        </m:r>
      </m:oMath>
      <w:r>
        <w:t xml:space="preserve">).</w:t>
      </w:r>
    </w:p>
    <w:p>
      <w:pPr>
        <w:pStyle w:val="BodyText"/>
      </w:pPr>
      <w:r>
        <w:t xml:space="preserve">While these concepts are theoretically elegant, measuring them in natural soils is notoriously difficult. In practice, standard agronomic soil tests do not measure absolute thermodynamic states; rather, they rely on</w:t>
      </w:r>
      <w:r>
        <w:t xml:space="preserve"> </w:t>
      </w:r>
      <w:r>
        <w:rPr>
          <w:b/>
          <w:bCs/>
        </w:rPr>
        <w:t xml:space="preserve">operational definitions</w:t>
      </w:r>
      <w:r>
        <w:t xml:space="preserve">. A soil test value is strictly defined by the specific chemical extractant used, the extraction time, and the soil-to-solution ratio.</w:t>
      </w:r>
    </w:p>
    <w:p>
      <w:pPr>
        <w:pStyle w:val="BodyText"/>
      </w:pPr>
      <w:r>
        <w:t xml:space="preserve">Different standard methods target different physicochemical pools of P by employing distinct extraction mechanisms: -</w:t>
      </w:r>
      <w:r>
        <w:t xml:space="preserve"> </w:t>
      </w:r>
      <w:r>
        <w:rPr>
          <w:b/>
          <w:bCs/>
        </w:rPr>
        <w:t xml:space="preserve">Olsen P (</w:t>
      </w:r>
      <m:oMath>
        <m:r>
          <m:t>N</m:t>
        </m:r>
        <m:r>
          <m:t>a</m:t>
        </m:r>
        <m:r>
          <m:t>H</m:t>
        </m:r>
        <m:r>
          <m:t>C</m:t>
        </m:r>
        <m:sSub>
          <m:e>
            <m:r>
              <m:t>O</m:t>
            </m:r>
          </m:e>
          <m:sub>
            <m:r>
              <m:t>3</m:t>
            </m:r>
          </m:sub>
        </m:sSub>
      </m:oMath>
      <w:r>
        <w:t xml:space="preserve">, pH 8.5): Measures desorbable P. The high concentration of bicarbonate ions outcompetes orthophosphate for adsorption sites on soil surfaces</w:t>
      </w:r>
      <w:r>
        <w:t xml:space="preserve"> </w:t>
      </w:r>
      <w:r>
        <w:t xml:space="preserve">(</w:t>
      </w:r>
      <w:r>
        <w:rPr>
          <w:b/>
          <w:bCs/>
        </w:rPr>
        <w:t xml:space="preserve">Olsen1954?</w:t>
      </w:r>
      <w:r>
        <w:t xml:space="preserve">)</w:t>
      </w:r>
      <w:r>
        <w:t xml:space="preserve">. -</w:t>
      </w:r>
      <w:r>
        <w:t xml:space="preserve"> </w:t>
      </w:r>
      <w:r>
        <w:rPr>
          <w:b/>
          <w:bCs/>
        </w:rPr>
        <w:t xml:space="preserve">P-AAE10 (Ammonium Acetate EDTA, pH 4.65):</w:t>
      </w:r>
      <w:r>
        <w:t xml:space="preserve"> </w:t>
      </w:r>
      <w:r>
        <w:t xml:space="preserve">A strong extractant that attacks both sorbed and precipitated P forms. EDTA chelates background cations, actively dissolving apatites, while the acetate buffer facilitates desorption</w:t>
      </w:r>
      <w:r>
        <w:t xml:space="preserve"> </w:t>
      </w:r>
      <w:r>
        <w:t xml:space="preserve">(Forschungsanstalt für Agrarökologie und Landbau (FAL), 1996)</w:t>
      </w:r>
      <w:r>
        <w:t xml:space="preserve">. -</w:t>
      </w:r>
      <w:r>
        <w:t xml:space="preserve"> </w:t>
      </w:r>
      <w:r>
        <w:rPr>
          <w:b/>
          <w:bCs/>
        </w:rPr>
        <w:t xml:space="preserve">Water Extractions (</w:t>
      </w:r>
      <m:oMath>
        <m:sSub>
          <m:e>
            <m:r>
              <m:t>P</m:t>
            </m:r>
          </m:e>
          <m:sub>
            <m:sSub>
              <m:e>
                <m:r>
                  <m:t>H</m:t>
                </m:r>
              </m:e>
              <m:sub>
                <m:r>
                  <m:t>2</m:t>
                </m:r>
              </m:sub>
            </m:sSub>
            <m:r>
              <m:t>O</m:t>
            </m:r>
          </m:sub>
        </m:sSub>
      </m:oMath>
      <w:r>
        <w:t xml:space="preserve"> </w:t>
      </w:r>
      <w:r>
        <w:t xml:space="preserve">and</w:t>
      </w:r>
      <w:r>
        <w:t xml:space="preserve"> </w:t>
      </w:r>
      <m:oMath>
        <m:sSub>
          <m:e>
            <m:r>
              <m:t>P</m:t>
            </m:r>
          </m:e>
          <m:sub>
            <m:r>
              <m:t>C</m:t>
            </m:r>
            <m:sSub>
              <m:e>
                <m:r>
                  <m:t>O</m:t>
                </m:r>
              </m:e>
              <m:sub>
                <m:r>
                  <m:t>2</m:t>
                </m:r>
              </m:sub>
            </m:sSub>
          </m:sub>
        </m:sSub>
      </m:oMath>
      <w:r>
        <w:t xml:space="preserve">): Weak extractions using distilled or</w:t>
      </w:r>
      <w:r>
        <w:t xml:space="preserve"> </w:t>
      </w:r>
      <m:oMath>
        <m:r>
          <m:t>C</m:t>
        </m:r>
        <m:sSub>
          <m:e>
            <m:r>
              <m:t>O</m:t>
            </m:r>
          </m:e>
          <m:sub>
            <m:r>
              <m:t>2</m:t>
            </m:r>
          </m:sub>
        </m:sSub>
      </m:oMath>
      <w:r>
        <w:t xml:space="preserve">-saturated water exert minimal chemical force, attempting to extract readily soluble forms without fundamentally altering the native soil matrix.</w:t>
      </w:r>
    </w:p>
    <w:bookmarkEnd w:id="10"/>
    <w:bookmarkStart w:id="11" w:name="X469d7d9b1965ca390c327dc638ad81ab82d5521"/>
    <w:p>
      <w:pPr>
        <w:pStyle w:val="Heading2"/>
      </w:pPr>
      <w:r>
        <w:t xml:space="preserve">1.3 The Thermodynamic Flaw: Ionic Strength and Activity</w:t>
      </w:r>
    </w:p>
    <w:p>
      <w:pPr>
        <w:pStyle w:val="FirstParagraph"/>
      </w:pPr>
      <w:r>
        <w:t xml:space="preserve">The reliance on operational definitions introduces a critical analytical flaw when interpreting soil tests, fundamentally tied to the principles of physical chemistry and plant physiology. Plant roots acquire P primarily via high-affinity transporter proteins (e.g., the PHT1 family). The binding kinetics of these transporters are governed by the true thermodynamic driving force of the substrate: its</w:t>
      </w:r>
      <w:r>
        <w:t xml:space="preserve"> </w:t>
      </w:r>
      <w:r>
        <w:rPr>
          <w:b/>
          <w:bCs/>
        </w:rPr>
        <w:t xml:space="preserve">chemical activity (</w:t>
      </w:r>
      <m:oMath>
        <m:r>
          <m:t>a</m:t>
        </m:r>
      </m:oMath>
      <w:r>
        <w:t xml:space="preserve">), not its total stoichiometric concentration (</w:t>
      </w:r>
      <m:oMath>
        <m:r>
          <m:t>c</m:t>
        </m:r>
      </m:oMath>
      <w:r>
        <w:t xml:space="preserve">).</w:t>
      </w:r>
    </w:p>
    <w:p>
      <w:pPr>
        <w:pStyle w:val="BodyText"/>
      </w:pPr>
      <w:r>
        <w:t xml:space="preserve">In the native soil solution, phosphate anions are electrostatically shielded by a cloud of background ions (</w:t>
      </w:r>
      <m:oMath>
        <m:r>
          <m:t>C</m:t>
        </m:r>
        <m:sSup>
          <m:e>
            <m:r>
              <m:t>a</m:t>
            </m:r>
          </m:e>
          <m:sup>
            <m:r>
              <m:t>2</m:t>
            </m:r>
            <m:r>
              <m:rPr>
                <m:sty m:val="p"/>
              </m:rPr>
              <m:t>+</m:t>
            </m:r>
          </m:sup>
        </m:sSup>
        <m:r>
          <m:rPr>
            <m:sty m:val="p"/>
          </m:rPr>
          <m:t>,</m:t>
        </m:r>
        <m:r>
          <m:t>M</m:t>
        </m:r>
        <m:sSup>
          <m:e>
            <m:r>
              <m:t>g</m:t>
            </m:r>
          </m:e>
          <m:sup>
            <m:r>
              <m:t>2</m:t>
            </m:r>
            <m:r>
              <m:rPr>
                <m:sty m:val="p"/>
              </m:rPr>
              <m:t>+</m:t>
            </m:r>
          </m:sup>
        </m:sSup>
        <m:r>
          <m:rPr>
            <m:sty m:val="p"/>
          </m:rPr>
          <m:t>,</m:t>
        </m:r>
        <m:sSup>
          <m:e>
            <m:r>
              <m:t>K</m:t>
            </m:r>
          </m:e>
          <m:sup>
            <m:r>
              <m:rPr>
                <m:sty m:val="p"/>
              </m:rPr>
              <m:t>+</m:t>
            </m:r>
          </m:sup>
        </m:sSup>
        <m:r>
          <m:rPr>
            <m:sty m:val="p"/>
          </m:rPr>
          <m:t>,</m:t>
        </m:r>
        <m:r>
          <m:t>N</m:t>
        </m:r>
        <m:sSubSup>
          <m:e>
            <m:r>
              <m:t>O</m:t>
            </m:r>
          </m:e>
          <m:sub>
            <m:r>
              <m:t>3</m:t>
            </m:r>
          </m:sub>
          <m:sup>
            <m:r>
              <m:rPr>
                <m:sty m:val="p"/>
              </m:rPr>
              <m:t>−</m:t>
            </m:r>
          </m:sup>
        </m:sSubSup>
        <m:r>
          <m:rPr>
            <m:sty m:val="p"/>
          </m:rPr>
          <m:t>,</m:t>
        </m:r>
        <m:r>
          <m:t>S</m:t>
        </m:r>
        <m:sSubSup>
          <m:e>
            <m:r>
              <m:t>O</m:t>
            </m:r>
          </m:e>
          <m:sub>
            <m:r>
              <m:t>4</m:t>
            </m:r>
          </m:sub>
          <m:sup>
            <m:r>
              <m:t>2</m:t>
            </m:r>
            <m:r>
              <m:rPr>
                <m:sty m:val="p"/>
              </m:rPr>
              <m:t>−</m:t>
            </m:r>
          </m:sup>
        </m:sSubSup>
      </m:oMath>
      <w:r>
        <w:t xml:space="preserve">). This native ionic strength (</w:t>
      </w:r>
      <m:oMath>
        <m:r>
          <m:t>I</m:t>
        </m:r>
      </m:oMath>
      <w:r>
        <w:t xml:space="preserve">) physically reduces the effective activity of the phosphate. The magnitude of this shielding is defined by the activity coefficient (</w:t>
      </w:r>
      <m:oMath>
        <m:r>
          <m:t>γ</m:t>
        </m:r>
      </m:oMath>
      <w:r>
        <w:t xml:space="preserve">), where true chemical activity is</w:t>
      </w:r>
      <w:r>
        <w:t xml:space="preserve"> </w:t>
      </w:r>
      <m:oMath>
        <m:r>
          <m:t>a</m:t>
        </m:r>
        <m:r>
          <m:rPr>
            <m:sty m:val="p"/>
          </m:rPr>
          <m:t>=</m:t>
        </m:r>
        <m:r>
          <m:t>c</m:t>
        </m:r>
        <m:r>
          <m:rPr>
            <m:sty m:val="p"/>
          </m:rPr>
          <m:t>⋅</m:t>
        </m:r>
        <m:r>
          <m:t>γ</m:t>
        </m:r>
      </m:oMath>
      <w:r>
        <w:t xml:space="preserve">.</w:t>
      </w:r>
    </w:p>
    <w:p>
      <w:pPr>
        <w:pStyle w:val="BodyText"/>
      </w:pPr>
      <w:r>
        <w:t xml:space="preserve">For strong extractants like Olsen or P-AAE10, the extractant solution has an overwhelmingly high ionic strength (e.g.,</w:t>
      </w:r>
      <w:r>
        <w:t xml:space="preserve"> </w:t>
      </w:r>
      <m:oMath>
        <m:r>
          <m:t>I</m:t>
        </m:r>
        <m:r>
          <m:rPr>
            <m:sty m:val="p"/>
          </m:rPr>
          <m:t>≈</m:t>
        </m:r>
        <m:r>
          <m:t>0.5</m:t>
        </m:r>
        <m:r>
          <m:rPr>
            <m:nor/>
            <m:sty m:val="p"/>
          </m:rPr>
          <m:t> M</m:t>
        </m:r>
      </m:oMath>
      <w:r>
        <w:t xml:space="preserve"> </w:t>
      </w:r>
      <w:r>
        <w:t xml:space="preserve">for Olsen). This artificial salt load obliterates the native ionic strength of the soil. Consequently, while these methods successfully quantify the physical mass of phosphorus (</w:t>
      </w:r>
      <m:oMath>
        <m:r>
          <m:t>Q</m:t>
        </m:r>
      </m:oMath>
      <w:r>
        <w:t xml:space="preserve">), they destroy the natural chemical environment, providing no information regarding the true thermodynamic Intensity (</w:t>
      </w:r>
      <m:oMath>
        <m:r>
          <m:t>I</m:t>
        </m:r>
      </m:oMath>
      <w:r>
        <w:t xml:space="preserve">) perceived by the root.</w:t>
      </w:r>
    </w:p>
    <w:p>
      <w:pPr>
        <w:pStyle w:val="BodyText"/>
      </w:pPr>
      <w:r>
        <w:t xml:space="preserve">Conversely, while weak water extractions successfully preserve the native soil matrix, reading their variable activity against a standard</w:t>
      </w:r>
      <w:r>
        <w:t xml:space="preserve"> </w:t>
      </w:r>
      <m:oMath>
        <m:r>
          <m:t>I</m:t>
        </m:r>
        <m:r>
          <m:rPr>
            <m:sty m:val="p"/>
          </m:rPr>
          <m:t>≈</m:t>
        </m:r>
        <m:r>
          <m:t>0</m:t>
        </m:r>
      </m:oMath>
      <w:r>
        <w:t xml:space="preserve"> </w:t>
      </w:r>
      <w:r>
        <w:t xml:space="preserve">calibration curve renders the values mathematically incomparable across different pedoclimatic sites. For example, in heavily fertilized Swiss agricultural soils (such as the long-term STYCS 167% P-treatments), the dissolution of accumulated amendments can elevate pore water ionic strength to</w:t>
      </w:r>
      <w:r>
        <w:t xml:space="preserve"> </w:t>
      </w:r>
      <m:oMath>
        <m:r>
          <m:t>0.02</m:t>
        </m:r>
        <m:r>
          <m:rPr>
            <m:nor/>
            <m:sty m:val="p"/>
          </m:rPr>
          <m:t> M</m:t>
        </m:r>
      </m:oMath>
      <w:r>
        <w:t xml:space="preserve">. At a neutral pH, a large portion of P exists as the divalent</w:t>
      </w:r>
      <w:r>
        <w:t xml:space="preserve"> </w:t>
      </w:r>
      <m:oMath>
        <m:r>
          <m:t>H</m:t>
        </m:r>
        <m:r>
          <m:t>P</m:t>
        </m:r>
        <m:sSubSup>
          <m:e>
            <m:r>
              <m:t>O</m:t>
            </m:r>
          </m:e>
          <m:sub>
            <m:r>
              <m:t>4</m:t>
            </m:r>
          </m:sub>
          <m:sup>
            <m:r>
              <m:t>2</m:t>
            </m:r>
            <m:r>
              <m:rPr>
                <m:sty m:val="p"/>
              </m:rPr>
              <m:t>−</m:t>
            </m:r>
          </m:sup>
        </m:sSubSup>
      </m:oMath>
      <w:r>
        <w:t xml:space="preserve"> </w:t>
      </w:r>
      <w:r>
        <w:t xml:space="preserve">ion. Applying the Davies equation to this ionic strength yields an activity coefficient (</w:t>
      </w:r>
      <m:oMath>
        <m:r>
          <m:t>γ</m:t>
        </m:r>
      </m:oMath>
      <w:r>
        <w:t xml:space="preserve">) of approximately</w:t>
      </w:r>
      <w:r>
        <w:t xml:space="preserve"> </w:t>
      </w:r>
      <m:oMath>
        <m:r>
          <m:t>0.58</m:t>
        </m:r>
      </m:oMath>
      <w:r>
        <w:t xml:space="preserve">. Therefore, over 40% of the chemically extracted mass is thermodynamically</w:t>
      </w:r>
      <w:r>
        <w:t xml:space="preserve"> </w:t>
      </w:r>
      <w:r>
        <w:t xml:space="preserve">“masked”</w:t>
      </w:r>
      <w:r>
        <w:t xml:space="preserve"> </w:t>
      </w:r>
      <w:r>
        <w:t xml:space="preserve">from the root. To resolve this, raw stoichiometric concentrations derived from water extractions must be mathematically corrected via the Davies equation to yield true thermodynamic activity.</w:t>
      </w:r>
    </w:p>
    <w:bookmarkEnd w:id="11"/>
    <w:bookmarkStart w:id="15" w:name="X0df14ae5fe92d7e25c8e3c02aaf1e482be40b94"/>
    <w:p>
      <w:pPr>
        <w:pStyle w:val="Heading2"/>
      </w:pPr>
      <w:r>
        <w:t xml:space="preserve">1.4 Unifying Quantity, Intensity, and the Kinetic Bottleneck</w:t>
      </w:r>
    </w:p>
    <w:p>
      <w:pPr>
        <w:pStyle w:val="FirstParagraph"/>
      </w:pPr>
      <w:r>
        <w:t xml:space="preserve">Once thermodynamic Intensity is correctly calculated, it can be paired with a standard mass extraction (</w:t>
      </w:r>
      <m:oMath>
        <m:r>
          <m:t>Q</m:t>
        </m:r>
      </m:oMath>
      <w:r>
        <w:t xml:space="preserve">, such as</w:t>
      </w:r>
      <w:r>
        <w:t xml:space="preserve"> </w:t>
      </w:r>
      <m:oMath>
        <m:sSub>
          <m:e>
            <m:r>
              <m:t>P</m:t>
            </m:r>
          </m:e>
          <m:sub>
            <m:r>
              <m:t>A</m:t>
            </m:r>
            <m:r>
              <m:t>A</m:t>
            </m:r>
            <m:r>
              <m:t>E</m:t>
            </m:r>
            <m:r>
              <m:t>10</m:t>
            </m:r>
          </m:sub>
        </m:sSub>
      </m:oMath>
      <w:r>
        <w:t xml:space="preserve">) to construct a purely thermodynamic</w:t>
      </w:r>
      <w:r>
        <w:t xml:space="preserve"> </w:t>
      </w:r>
      <m:oMath>
        <m:r>
          <m:t>Q</m:t>
        </m:r>
        <m:r>
          <m:rPr>
            <m:sty m:val="p"/>
          </m:rPr>
          <m:t>(</m:t>
        </m:r>
        <m:r>
          <m:t>I</m:t>
        </m:r>
        <m:r>
          <m:rPr>
            <m:sty m:val="p"/>
          </m:rPr>
          <m:t>)</m:t>
        </m:r>
      </m:oMath>
      <w:r>
        <w:t xml:space="preserve"> </w:t>
      </w:r>
      <w:r>
        <w:t xml:space="preserve">framework. By parameterizing this relationship using a Freundlich isotherm (</w:t>
      </w:r>
      <m:oMath>
        <m:r>
          <m:t>Q</m:t>
        </m:r>
        <m:r>
          <m:rPr>
            <m:sty m:val="p"/>
          </m:rPr>
          <m:t>=</m:t>
        </m:r>
        <m:sSub>
          <m:e>
            <m:r>
              <m:t>K</m:t>
            </m:r>
          </m:e>
          <m:sub>
            <m:r>
              <m:t>f</m:t>
            </m:r>
          </m:sub>
        </m:sSub>
        <m:r>
          <m:rPr>
            <m:sty m:val="p"/>
          </m:rPr>
          <m:t>⋅</m:t>
        </m:r>
        <m:sSup>
          <m:e>
            <m:r>
              <m:t>I</m:t>
            </m:r>
          </m:e>
          <m:sup>
            <m:r>
              <m:t>1</m:t>
            </m:r>
            <m:r>
              <m:rPr>
                <m:sty m:val="p"/>
              </m:rPr>
              <m:t>/</m:t>
            </m:r>
            <m:r>
              <m:t>n</m:t>
            </m:r>
          </m:sup>
        </m:sSup>
      </m:oMath>
      <w:r>
        <w:t xml:space="preserve">), the true Phosphorus Buffering Capacity (PBC) can be mathematically deduced as the continuous first derivative (</w:t>
      </w:r>
      <m:oMath>
        <m:f>
          <m:fPr>
            <m:type m:val="bar"/>
          </m:fPr>
          <m:num>
            <m:r>
              <m:t>d</m:t>
            </m:r>
            <m:r>
              <m:t>Q</m:t>
            </m:r>
          </m:num>
          <m:den>
            <m:r>
              <m:t>d</m:t>
            </m:r>
            <m:r>
              <m:t>I</m:t>
            </m:r>
          </m:den>
        </m:f>
      </m:oMath>
      <w:r>
        <w:t xml:space="preserve">).</w:t>
      </w:r>
    </w:p>
    <w:p>
      <w:pPr>
        <w:pStyle w:val="BodyText"/>
      </w:pPr>
      <w:r>
        <w:t xml:space="preserve">However, even with a correct thermodynamic understanding of</w:t>
      </w:r>
      <w:r>
        <w:t xml:space="preserve"> </w:t>
      </w:r>
      <m:oMath>
        <m:r>
          <m:t>Q</m:t>
        </m:r>
      </m:oMath>
      <w:r>
        <w:t xml:space="preserve"> </w:t>
      </w:r>
      <w:r>
        <w:t xml:space="preserve">and</w:t>
      </w:r>
      <w:r>
        <w:t xml:space="preserve"> </w:t>
      </w:r>
      <m:oMath>
        <m:r>
          <m:t>I</m:t>
        </m:r>
      </m:oMath>
      <w:r>
        <w:t xml:space="preserve">, plant uptake remains fundamentally limited by time. Standard conceptual models assume instantaneous solid-solution equilibrium. In reality, desorption is a rate-limiting kinetic bottleneck</w:t>
      </w:r>
      <w:r>
        <w:t xml:space="preserve"> </w:t>
      </w:r>
      <w:r>
        <w:t xml:space="preserve">(Flossmann &amp; Richter, 1982; Nye &amp; Tinker, 2000)</w:t>
      </w:r>
      <w:r>
        <w:t xml:space="preserve">. When a root depletes the rhizosphere, the soil cannot always resupply phosphate fast enough.</w:t>
      </w:r>
    </w:p>
    <w:p>
      <w:pPr>
        <w:pStyle w:val="BodyText"/>
      </w:pPr>
      <w:r>
        <w:t xml:space="preserve">To address this, we define a novel dynamic predictor: the</w:t>
      </w:r>
      <w:r>
        <w:t xml:space="preserve"> </w:t>
      </w:r>
      <w:r>
        <w:rPr>
          <w:b/>
          <w:bCs/>
        </w:rPr>
        <w:t xml:space="preserve">Initial Activity Flux (</w:t>
      </w:r>
      <m:oMath>
        <m:sSub>
          <m:e>
            <m:r>
              <m:t>J</m:t>
            </m:r>
          </m:e>
          <m:sub>
            <m:r>
              <m:t>0</m:t>
            </m:r>
          </m:sub>
        </m:sSub>
      </m:oMath>
      <w:r>
        <w:t xml:space="preserve">). This flux shifts the focus from static mass to supply rate by multiplying the first-order desorption rate constant (</w:t>
      </w:r>
      <m:oMath>
        <m:r>
          <m:t>k</m:t>
        </m:r>
      </m:oMath>
      <w:r>
        <w:t xml:space="preserve">) by the maximum thermodynamic activity (</w:t>
      </w:r>
      <m:oMath>
        <m:sSub>
          <m:e>
            <m:r>
              <m:t>a</m:t>
            </m:r>
          </m:e>
          <m:sub>
            <m:r>
              <m:t>m</m:t>
            </m:r>
            <m:r>
              <m:t>a</m:t>
            </m:r>
            <m:r>
              <m:t>x</m:t>
            </m:r>
          </m:sub>
        </m:sSub>
      </m:oMath>
      <w:r>
        <w:t xml:space="preserve">):</w:t>
      </w:r>
    </w:p>
    <w:p>
      <w:pPr>
        <w:pStyle w:val="BodyText"/>
      </w:pPr>
      <m:oMathPara>
        <m:oMathParaPr>
          <m:jc m:val="center"/>
        </m:oMathParaPr>
        <m:oMath>
          <m:sSub>
            <m:e>
              <m:r>
                <m:t>J</m:t>
              </m:r>
            </m:e>
            <m:sub>
              <m:r>
                <m:t>0</m:t>
              </m:r>
            </m:sub>
          </m:sSub>
          <m:r>
            <m:rPr>
              <m:sty m:val="p"/>
            </m:rPr>
            <m:t>=</m:t>
          </m:r>
          <m:r>
            <m:t>k</m:t>
          </m:r>
          <m:r>
            <m:rPr>
              <m:sty m:val="p"/>
            </m:rPr>
            <m:t>⋅</m:t>
          </m:r>
          <m:sSub>
            <m:e>
              <m:r>
                <m:t>a</m:t>
              </m:r>
            </m:e>
            <m:sub>
              <m:r>
                <m:t>m</m:t>
              </m:r>
              <m:r>
                <m:t>a</m:t>
              </m:r>
              <m:r>
                <m:t>x</m:t>
              </m:r>
            </m:sub>
          </m:sSub>
        </m:oMath>
      </m:oMathPara>
    </w:p>
    <w:p>
      <w:pPr>
        <w:pStyle w:val="FirstParagraph"/>
      </w:pPr>
      <w:r>
        <w:rPr>
          <w:b/>
          <w:bCs/>
        </w:rPr>
        <w:t xml:space="preserve">?@tbl-terminology</w:t>
      </w:r>
      <w:r>
        <w:t xml:space="preserve"> </w:t>
      </w:r>
      <w:r>
        <w:t xml:space="preserve">maps this transition from classic, operationally defined static tests to the proposed thermodynamic and kinetic parameters.</w:t>
      </w:r>
    </w:p>
    <w:p>
      <w:pPr>
        <w:pStyle w:val="TableCaption"/>
      </w:pPr>
      <w:r>
        <w:t xml:space="preserve">Conceptual mapping of fundamental phosphorus availability factors to their analytical proxies.</w:t>
      </w:r>
    </w:p>
    <w:tbl>
      <w:tblPr>
        <w:tblStyle w:val="Table"/>
        <w:tblW w:type="pct" w:w="5000"/>
        <w:tblLayout w:type="fixed"/>
        <w:tblLook w:firstRow="1" w:lastRow="0" w:firstColumn="0" w:lastColumn="0" w:noHBand="0" w:noVBand="0" w:val="0020"/>
        <w:tblCaption w:val="Conceptual mapping of fundamental phosphorus availability factors to their analytical proxies."/>
      </w:tblPr>
      <w:tblGrid>
        <w:gridCol w:w="1980"/>
        <w:gridCol w:w="1980"/>
        <w:gridCol w:w="1980"/>
        <w:gridCol w:w="1980"/>
      </w:tblGrid>
      <w:tr>
        <w:trPr>
          <w:tblHeader w:val="on"/>
        </w:trPr>
        <w:tc>
          <w:tcPr/>
          <w:p>
            <w:pPr>
              <w:pStyle w:val="Compact"/>
              <w:jc w:val="left"/>
            </w:pPr>
            <w:r>
              <w:t xml:space="preserve">Approach / Framework</w:t>
            </w:r>
          </w:p>
        </w:tc>
        <w:tc>
          <w:tcPr/>
          <w:p>
            <w:pPr>
              <w:pStyle w:val="Compact"/>
              <w:jc w:val="left"/>
            </w:pPr>
            <w:r>
              <w:t xml:space="preserve">Intensity Factor</w:t>
            </w:r>
          </w:p>
        </w:tc>
        <w:tc>
          <w:tcPr/>
          <w:p>
            <w:pPr>
              <w:pStyle w:val="Compact"/>
              <w:jc w:val="left"/>
            </w:pPr>
            <w:r>
              <w:t xml:space="preserve">Quantity (Capacity) Factor</w:t>
            </w:r>
          </w:p>
        </w:tc>
        <w:tc>
          <w:tcPr/>
          <w:p>
            <w:pPr>
              <w:pStyle w:val="Compact"/>
              <w:jc w:val="left"/>
            </w:pPr>
            <w:r>
              <w:t xml:space="preserve">Kinetic Factor</w:t>
            </w:r>
          </w:p>
        </w:tc>
      </w:tr>
      <w:tr>
        <w:tc>
          <w:tcPr/>
          <w:p>
            <w:pPr>
              <w:pStyle w:val="Compact"/>
              <w:jc w:val="left"/>
            </w:pPr>
            <w:r>
              <w:rPr>
                <w:b/>
                <w:bCs/>
              </w:rPr>
              <w:t xml:space="preserve">Theoretical Concept (</w:t>
            </w:r>
            <w:r>
              <w:rPr>
                <w:b/>
                <w:bCs/>
              </w:rPr>
              <w:t xml:space="preserve">Frossard et al. (2000)</w:t>
            </w:r>
            <w:r>
              <w:rPr>
                <w:b/>
                <w:bCs/>
              </w:rPr>
              <w:t xml:space="preserve">)</w:t>
            </w:r>
          </w:p>
        </w:tc>
        <w:tc>
          <w:tcPr/>
          <w:p>
            <w:pPr>
              <w:pStyle w:val="Compact"/>
              <w:jc w:val="left"/>
            </w:pPr>
            <w:r>
              <w:t xml:space="preserve">Chemical activity of P in the soil solution</w:t>
            </w:r>
          </w:p>
        </w:tc>
        <w:tc>
          <w:tcPr/>
          <w:p>
            <w:pPr>
              <w:pStyle w:val="Compact"/>
              <w:jc w:val="left"/>
            </w:pPr>
            <w:r>
              <w:t xml:space="preserve">Pool of solid-phase P that can replenish the solution</w:t>
            </w:r>
          </w:p>
        </w:tc>
        <w:tc>
          <w:tcPr/>
          <w:p>
            <w:pPr>
              <w:pStyle w:val="Compact"/>
              <w:jc w:val="left"/>
            </w:pPr>
            <w:r>
              <w:t xml:space="preserve">Rate of P transfer from the solid to the liquid phase</w:t>
            </w:r>
          </w:p>
        </w:tc>
      </w:tr>
      <w:tr>
        <w:tc>
          <w:tcPr/>
          <w:p>
            <w:pPr>
              <w:pStyle w:val="Compact"/>
              <w:jc w:val="left"/>
            </w:pPr>
            <w:r>
              <w:rPr>
                <w:b/>
                <w:bCs/>
              </w:rPr>
              <w:t xml:space="preserve">Traditional / Static Proxy (GRUD)</w:t>
            </w:r>
          </w:p>
        </w:tc>
        <w:tc>
          <w:tcPr/>
          <w:p>
            <w:pPr>
              <w:pStyle w:val="Compact"/>
              <w:jc w:val="left"/>
            </w:pPr>
            <m:oMath>
              <m:sSub>
                <m:e>
                  <m:r>
                    <m:t>P</m:t>
                  </m:r>
                </m:e>
                <m:sub>
                  <m:r>
                    <m:t>C</m:t>
                  </m:r>
                  <m:sSub>
                    <m:e>
                      <m:r>
                        <m:t>O</m:t>
                      </m:r>
                    </m:e>
                    <m:sub>
                      <m:r>
                        <m:t>2</m:t>
                      </m:r>
                    </m:sub>
                  </m:sSub>
                </m:sub>
              </m:sSub>
            </m:oMath>
            <w:r>
              <w:t xml:space="preserve"> </w:t>
            </w:r>
            <w:r>
              <w:t xml:space="preserve">(Raw Water-soluble Concentration)</w:t>
            </w:r>
          </w:p>
        </w:tc>
        <w:tc>
          <w:tcPr/>
          <w:p>
            <w:pPr>
              <w:pStyle w:val="Compact"/>
              <w:jc w:val="left"/>
            </w:pPr>
            <m:oMath>
              <m:sSub>
                <m:e>
                  <m:r>
                    <m:t>P</m:t>
                  </m:r>
                </m:e>
                <m:sub>
                  <m:r>
                    <m:t>A</m:t>
                  </m:r>
                  <m:r>
                    <m:t>A</m:t>
                  </m:r>
                  <m:r>
                    <m:t>E</m:t>
                  </m:r>
                  <m:r>
                    <m:t>10</m:t>
                  </m:r>
                </m:sub>
              </m:sSub>
            </m:oMath>
            <w:r>
              <w:t xml:space="preserve"> </w:t>
            </w:r>
            <w:r>
              <w:t xml:space="preserve">(Chelate-extractable Mass)</w:t>
            </w:r>
          </w:p>
        </w:tc>
        <w:tc>
          <w:tcPr/>
          <w:p>
            <w:pPr>
              <w:pStyle w:val="Compact"/>
              <w:jc w:val="left"/>
            </w:pPr>
            <w:r>
              <w:rPr>
                <w:i/>
                <w:iCs/>
              </w:rPr>
              <w:t xml:space="preserve">Not Measured</w:t>
            </w:r>
          </w:p>
        </w:tc>
      </w:tr>
      <w:tr>
        <w:tc>
          <w:tcPr/>
          <w:p>
            <w:pPr>
              <w:pStyle w:val="Compact"/>
              <w:jc w:val="left"/>
            </w:pPr>
            <w:r>
              <w:rPr>
                <w:b/>
                <w:bCs/>
              </w:rPr>
              <w:t xml:space="preserve">Dynamic / Thermodynamic Proxy (This Study)</w:t>
            </w:r>
          </w:p>
        </w:tc>
        <w:tc>
          <w:tcPr/>
          <w:p>
            <w:pPr>
              <w:pStyle w:val="Compact"/>
              <w:jc w:val="left"/>
            </w:pPr>
            <w:r>
              <w:t xml:space="preserve">Maximum Thermodynamic Activity (</w:t>
            </w:r>
            <m:oMath>
              <m:sSub>
                <m:e>
                  <m:r>
                    <m:t>a</m:t>
                  </m:r>
                </m:e>
                <m:sub>
                  <m:r>
                    <m:t>m</m:t>
                  </m:r>
                  <m:r>
                    <m:t>a</m:t>
                  </m:r>
                  <m:r>
                    <m:t>x</m:t>
                  </m:r>
                </m:sub>
              </m:sSub>
            </m:oMath>
            <w:r>
              <w:t xml:space="preserve">)</w:t>
            </w:r>
          </w:p>
        </w:tc>
        <w:tc>
          <w:tcPr/>
          <w:p>
            <w:pPr>
              <w:pStyle w:val="Compact"/>
              <w:jc w:val="left"/>
            </w:pPr>
            <m:oMath>
              <m:sSub>
                <m:e>
                  <m:r>
                    <m:t>P</m:t>
                  </m:r>
                </m:e>
                <m:sub>
                  <m:r>
                    <m:t>A</m:t>
                  </m:r>
                  <m:r>
                    <m:t>A</m:t>
                  </m:r>
                  <m:r>
                    <m:t>E</m:t>
                  </m:r>
                  <m:r>
                    <m:t>10</m:t>
                  </m:r>
                </m:sub>
              </m:sSub>
            </m:oMath>
          </w:p>
        </w:tc>
        <w:tc>
          <w:tcPr/>
          <w:p>
            <w:pPr>
              <w:pStyle w:val="Compact"/>
              <w:jc w:val="left"/>
            </w:pPr>
            <w:r>
              <w:t xml:space="preserve">Initial Activity Flux (</w:t>
            </w:r>
            <m:oMath>
              <m:sSub>
                <m:e>
                  <m:r>
                    <m:t>J</m:t>
                  </m:r>
                </m:e>
                <m:sub>
                  <m:r>
                    <m:t>0</m:t>
                  </m:r>
                </m:sub>
              </m:sSub>
              <m:r>
                <m:rPr>
                  <m:sty m:val="p"/>
                </m:rPr>
                <m:t>=</m:t>
              </m:r>
              <m:r>
                <m:t>k</m:t>
              </m:r>
              <m:r>
                <m:rPr>
                  <m:sty m:val="p"/>
                </m:rPr>
                <m:t>⋅</m:t>
              </m:r>
              <m:sSub>
                <m:e>
                  <m:r>
                    <m:t>a</m:t>
                  </m:r>
                </m:e>
                <m:sub>
                  <m:r>
                    <m:t>m</m:t>
                  </m:r>
                  <m:r>
                    <m:t>a</m:t>
                  </m:r>
                  <m:r>
                    <m:t>x</m:t>
                  </m:r>
                </m:sub>
              </m:sSub>
            </m:oMath>
            <w:r>
              <w:t xml:space="preserve">)</w:t>
            </w:r>
          </w:p>
        </w:tc>
      </w:tr>
    </w:tbl>
    <w:p>
      <w:pPr>
        <w:pStyle w:val="SourceCode"/>
      </w:pPr>
      <w:r>
        <w:rPr>
          <w:rStyle w:val="CommentTok"/>
        </w:rPr>
        <w:t xml:space="preserve">#|echo: false</w:t>
      </w:r>
      <w:r>
        <w:br/>
      </w:r>
      <w:r>
        <w:br/>
      </w:r>
      <w:r>
        <w:rPr>
          <w:rStyle w:val="FunctionTok"/>
        </w:rPr>
        <w:t xml:space="preserve">library</w:t>
      </w:r>
      <w:r>
        <w:rPr>
          <w:rStyle w:val="NormalTok"/>
        </w:rPr>
        <w:t xml:space="preserve">(magick)</w:t>
      </w:r>
    </w:p>
    <w:p>
      <w:pPr>
        <w:pStyle w:val="SourceCode"/>
      </w:pPr>
      <w:r>
        <w:rPr>
          <w:rStyle w:val="VerbatimChar"/>
        </w:rPr>
        <w:t xml:space="preserve">Linking to ImageMagick 6.9.12.98</w:t>
      </w:r>
      <w:r>
        <w:br/>
      </w:r>
      <w:r>
        <w:rPr>
          <w:rStyle w:val="VerbatimChar"/>
        </w:rPr>
        <w:t xml:space="preserve">Enabled features: fontconfig, freetype, fftw, heic, lcms, pango, raw, webp, x11</w:t>
      </w:r>
      <w:r>
        <w:br/>
      </w:r>
      <w:r>
        <w:rPr>
          <w:rStyle w:val="VerbatimChar"/>
        </w:rPr>
        <w:t xml:space="preserve">Disabled features: cairo, ghostscript, rsvg</w:t>
      </w:r>
    </w:p>
    <w:p>
      <w:pPr>
        <w:pStyle w:val="SourceCode"/>
      </w:pPr>
      <w:r>
        <w:rPr>
          <w:rStyle w:val="VerbatimChar"/>
        </w:rPr>
        <w:t xml:space="preserve">Using 4 threads</w:t>
      </w:r>
    </w:p>
    <w:p>
      <w:pPr>
        <w:pStyle w:val="SourceCode"/>
      </w:pPr>
      <w:r>
        <w:rPr>
          <w:rStyle w:val="FunctionTok"/>
        </w:rPr>
        <w:t xml:space="preserve">library</w:t>
      </w:r>
      <w:r>
        <w:rPr>
          <w:rStyle w:val="NormalTok"/>
        </w:rPr>
        <w:t xml:space="preserve">(pdftools)</w:t>
      </w:r>
    </w:p>
    <w:p>
      <w:pPr>
        <w:pStyle w:val="SourceCode"/>
      </w:pPr>
      <w:r>
        <w:rPr>
          <w:rStyle w:val="VerbatimChar"/>
        </w:rPr>
        <w:t xml:space="preserve">Using poppler version 24.02.0</w:t>
      </w:r>
    </w:p>
    <w:p>
      <w:pPr>
        <w:pStyle w:val="CaptionedFigure"/>
      </w:pPr>
      <w:r>
        <w:drawing>
          <wp:inline>
            <wp:extent cx="5334000" cy="3315034"/>
            <wp:effectExtent b="0" l="0" r="0" t="0"/>
            <wp:docPr descr="Conceptual model of the rhizosphere phosphorus cycle." title="" id="13" name="Picture"/>
            <a:graphic>
              <a:graphicData uri="http://schemas.openxmlformats.org/drawingml/2006/picture">
                <pic:pic>
                  <pic:nvPicPr>
                    <pic:cNvPr descr="index_files/figure-docx/unnamed-chunk-2-1.png" id="14" name="Picture"/>
                    <pic:cNvPicPr>
                      <a:picLocks noChangeArrowheads="1" noChangeAspect="1"/>
                    </pic:cNvPicPr>
                  </pic:nvPicPr>
                  <pic:blipFill>
                    <a:blip r:embed="rId12"/>
                    <a:stretch>
                      <a:fillRect/>
                    </a:stretch>
                  </pic:blipFill>
                  <pic:spPr bwMode="auto">
                    <a:xfrm>
                      <a:off x="0" y="0"/>
                      <a:ext cx="5334000" cy="3315034"/>
                    </a:xfrm>
                    <a:prstGeom prst="rect">
                      <a:avLst/>
                    </a:prstGeom>
                    <a:noFill/>
                    <a:ln w="9525">
                      <a:noFill/>
                      <a:headEnd/>
                      <a:tailEnd/>
                    </a:ln>
                  </pic:spPr>
                </pic:pic>
              </a:graphicData>
            </a:graphic>
          </wp:inline>
        </w:drawing>
      </w:r>
    </w:p>
    <w:p>
      <w:pPr>
        <w:pStyle w:val="ImageCaption"/>
      </w:pPr>
      <w:r>
        <w:t xml:space="preserve">Conceptual model of the rhizosphere phosphorus cycle.</w:t>
      </w:r>
    </w:p>
    <w:bookmarkEnd w:id="15"/>
    <w:bookmarkStart w:id="16" w:name="Xdfc87357402a84a9eb1512aa38aef947e1492a3"/>
    <w:p>
      <w:pPr>
        <w:pStyle w:val="Heading2"/>
      </w:pPr>
      <w:r>
        <w:t xml:space="preserve">1.5 Thesis Objectives and Analytical Strategy</w:t>
      </w:r>
    </w:p>
    <w:p>
      <w:pPr>
        <w:pStyle w:val="FirstParagraph"/>
      </w:pPr>
      <w:r>
        <w:t xml:space="preserve">This thesis hypothesizes that integrating thermodynamic activity and desorption kinetics provides a superior mechanistic framework for P-management compared to standard empirical testing. Using soils from the long-term Swiss agricultural experiment STYCS, this study aims to validate this framework through the following objectives:</w:t>
      </w:r>
    </w:p>
    <w:p>
      <w:pPr>
        <w:pStyle w:val="Compact"/>
        <w:numPr>
          <w:ilvl w:val="0"/>
          <w:numId w:val="1001"/>
        </w:numPr>
      </w:pPr>
      <w:r>
        <w:rPr>
          <w:b/>
          <w:bCs/>
        </w:rPr>
        <w:t xml:space="preserve">Thermodynamic Framework Formulation:</w:t>
      </w:r>
      <w:r>
        <w:t xml:space="preserve"> </w:t>
      </w:r>
      <w:r>
        <w:t xml:space="preserve">Establish thermodynamic</w:t>
      </w:r>
      <w:r>
        <w:t xml:space="preserve"> </w:t>
      </w:r>
      <m:oMath>
        <m:r>
          <m:t>Q</m:t>
        </m:r>
        <m:r>
          <m:rPr>
            <m:sty m:val="p"/>
          </m:rPr>
          <m:t>(</m:t>
        </m:r>
        <m:r>
          <m:t>I</m:t>
        </m:r>
        <m:r>
          <m:rPr>
            <m:sty m:val="p"/>
          </m:rPr>
          <m:t>)</m:t>
        </m:r>
      </m:oMath>
      <w:r>
        <w:t xml:space="preserve"> </w:t>
      </w:r>
      <w:r>
        <w:t xml:space="preserve">isotherms across highly diverse pedoclimatic sites to calculate the true PBC, demonstrating how long-term cumulative P-balances shift the soil’s physical chemistry.</w:t>
      </w:r>
    </w:p>
    <w:p>
      <w:pPr>
        <w:pStyle w:val="Compact"/>
        <w:numPr>
          <w:ilvl w:val="0"/>
          <w:numId w:val="1001"/>
        </w:numPr>
      </w:pPr>
      <w:r>
        <w:rPr>
          <w:b/>
          <w:bCs/>
        </w:rPr>
        <w:t xml:space="preserve">Agronomic Prediction:</w:t>
      </w:r>
      <w:r>
        <w:t xml:space="preserve"> </w:t>
      </w:r>
      <w:r>
        <w:t xml:space="preserve">Statistically evaluate the predictive power of the kinetic Activity Flux (</w:t>
      </w:r>
      <m:oMath>
        <m:sSub>
          <m:e>
            <m:r>
              <m:t>J</m:t>
            </m:r>
          </m:e>
          <m:sub>
            <m:r>
              <m:t>0</m:t>
            </m:r>
          </m:sub>
        </m:sSub>
      </m:oMath>
      <w:r>
        <w:t xml:space="preserve">) against relative crop yield and P-uptake. To rigorously isolate the chemical P-limitation from overarching climatic noise, agronomic outcomes will be normalized against a historical biological baseline (the historical maximum yield of non-limiting P treatments for specific site-crop combinations). It is hypothesized that the thermodynamically corrected</w:t>
      </w:r>
      <w:r>
        <w:t xml:space="preserve"> </w:t>
      </w:r>
      <m:oMath>
        <m:sSub>
          <m:e>
            <m:r>
              <m:t>J</m:t>
            </m:r>
          </m:e>
          <m:sub>
            <m:r>
              <m:t>0</m:t>
            </m:r>
          </m:sub>
        </m:sSub>
      </m:oMath>
      <w:r>
        <w:t xml:space="preserve"> </w:t>
      </w:r>
      <w:r>
        <w:t xml:space="preserve">will significantly outperform standard static extractions.</w:t>
      </w:r>
    </w:p>
    <w:p>
      <w:pPr>
        <w:pStyle w:val="Compact"/>
        <w:numPr>
          <w:ilvl w:val="0"/>
          <w:numId w:val="1001"/>
        </w:numPr>
      </w:pPr>
      <w:r>
        <w:rPr>
          <w:b/>
          <w:bCs/>
        </w:rPr>
        <w:t xml:space="preserve">Mechanistic Validation:</w:t>
      </w:r>
      <w:r>
        <w:t xml:space="preserve"> </w:t>
      </w:r>
      <w:r>
        <w:t xml:space="preserve">Propose a modified conceptual framework for radial transport to mathematically illustrate that the desorption rate acts as the primary limiting bottleneck restricting P-availability in the rhizosphere.</w:t>
      </w:r>
    </w:p>
    <w:p>
      <w:r>
        <w:br w:type="page"/>
      </w:r>
    </w:p>
    <w:bookmarkEnd w:id="16"/>
    <w:bookmarkEnd w:id="17"/>
    <w:bookmarkStart w:id="31" w:name="sec-materials-and-methods"/>
    <w:p>
      <w:pPr>
        <w:pStyle w:val="Heading1"/>
      </w:pPr>
      <w:r>
        <w:t xml:space="preserve">2. Materials and Methods</w:t>
      </w:r>
    </w:p>
    <w:bookmarkStart w:id="18" w:name="X2a96c2427ceb6b998508f67b3ec6e8131f2af39"/>
    <w:p>
      <w:pPr>
        <w:pStyle w:val="Heading2"/>
      </w:pPr>
      <w:r>
        <w:t xml:space="preserve">2.1 The Long-Term Phosphorus Fertilization Experiment</w:t>
      </w:r>
    </w:p>
    <w:p>
      <w:pPr>
        <w:pStyle w:val="FirstParagraph"/>
      </w:pPr>
      <w:r>
        <w:t xml:space="preserve">The soil samples for this thesis originate from a set of six long-term field trials in Switzerland, established by Agroscope between 1989 and 1992. The primary objective of these experiments was to validate and re-evaluate Swiss phosphorus (P) fertilization guidelines by assessing long-term crop yield responses to varying P inputs across different pedoclimatic conditions. A detailed description of the experimental design and site characteristics can be found in</w:t>
      </w:r>
      <w:r>
        <w:t xml:space="preserve"> </w:t>
      </w:r>
      <w:r>
        <w:t xml:space="preserve">Hirte et al. (2021)</w:t>
      </w:r>
      <w:r>
        <w:t xml:space="preserve">.</w:t>
      </w:r>
    </w:p>
    <w:p>
      <w:pPr>
        <w:pStyle w:val="BodyText"/>
      </w:pPr>
      <w:r>
        <w:t xml:space="preserve">The experiment was set up as a</w:t>
      </w:r>
      <w:r>
        <w:t xml:space="preserve"> </w:t>
      </w:r>
      <w:r>
        <w:rPr>
          <w:b/>
          <w:bCs/>
        </w:rPr>
        <w:t xml:space="preserve">completely randomized block design</w:t>
      </w:r>
      <w:r>
        <w:t xml:space="preserve"> </w:t>
      </w:r>
      <w:r>
        <w:t xml:space="preserve">with four field replications at each site. The core of the experiment consists of six fixed-plot treatments representing different P fertilization levels, which were applied annually as superphosphate before tillage and sowing. These levels were based on percentages of the officially recommended P inputs: 0% (Zero), 33% (Deficit), 67% (Reduced), 100% (Norm), 133% (Elevated), and 167% (Surplus).</w:t>
      </w:r>
    </w:p>
    <w:bookmarkEnd w:id="18"/>
    <w:bookmarkStart w:id="20" w:name="sec-experimental-sites"/>
    <w:p>
      <w:pPr>
        <w:pStyle w:val="Heading2"/>
      </w:pPr>
      <w:r>
        <w:t xml:space="preserve">2.2 Experimental Sites</w:t>
      </w:r>
    </w:p>
    <w:p>
      <w:pPr>
        <w:pStyle w:val="FirstParagraph"/>
      </w:pPr>
      <w:r>
        <w:t xml:space="preserve">The six experimental sites are located in the main crop-growing regions of Switzerland:</w:t>
      </w:r>
      <w:r>
        <w:t xml:space="preserve"> </w:t>
      </w:r>
      <w:r>
        <w:rPr>
          <w:b/>
          <w:bCs/>
        </w:rPr>
        <w:t xml:space="preserve">Rümlang-Altwi (ALT)</w:t>
      </w:r>
      <w:r>
        <w:t xml:space="preserve">,</w:t>
      </w:r>
      <w:r>
        <w:t xml:space="preserve"> </w:t>
      </w:r>
      <w:r>
        <w:rPr>
          <w:b/>
          <w:bCs/>
        </w:rPr>
        <w:t xml:space="preserve">Cadenazzo (CAD)</w:t>
      </w:r>
      <w:r>
        <w:t xml:space="preserve">,</w:t>
      </w:r>
      <w:r>
        <w:t xml:space="preserve"> </w:t>
      </w:r>
      <w:r>
        <w:rPr>
          <w:b/>
          <w:bCs/>
        </w:rPr>
        <w:t xml:space="preserve">Ellighausen (ELL)</w:t>
      </w:r>
      <w:r>
        <w:t xml:space="preserve">,</w:t>
      </w:r>
      <w:r>
        <w:t xml:space="preserve"> </w:t>
      </w:r>
      <w:r>
        <w:rPr>
          <w:b/>
          <w:bCs/>
        </w:rPr>
        <w:t xml:space="preserve">Grabs (GRA)</w:t>
      </w:r>
      <w:r>
        <w:t xml:space="preserve">,</w:t>
      </w:r>
      <w:r>
        <w:t xml:space="preserve"> </w:t>
      </w:r>
      <w:r>
        <w:rPr>
          <w:b/>
          <w:bCs/>
        </w:rPr>
        <w:t xml:space="preserve">Oensingen (OEN)</w:t>
      </w:r>
      <w:r>
        <w:t xml:space="preserve">, and</w:t>
      </w:r>
      <w:r>
        <w:t xml:space="preserve"> </w:t>
      </w:r>
      <w:r>
        <w:rPr>
          <w:b/>
          <w:bCs/>
        </w:rPr>
        <w:t xml:space="preserve">Zurich-Reckenholz (REC)</w:t>
      </w:r>
      <w:r>
        <w:t xml:space="preserve">. The key soil properties are summarized below.</w:t>
      </w:r>
    </w:p>
    <w:tbl>
      <w:tblPr>
        <w:tblStyle w:val="Table"/>
        <w:tblW w:type="pct" w:w="5000"/>
        <w:tblLayout w:type="fixed"/>
        <w:tblLook w:firstRow="0" w:lastRow="0" w:firstColumn="0" w:lastColumn="0" w:noHBand="0" w:noVBand="0" w:val="0000"/>
      </w:tblPr>
      <w:tblGrid>
        <w:gridCol w:w="7920"/>
      </w:tblGrid>
      <w:tr>
        <w:tc>
          <w:tcPr/>
          <w:bookmarkStart w:id="19" w:name="tbl-sites-corrected"/>
          <w:p>
            <w:pPr>
              <w:jc w:val="center"/>
            </w:pPr>
            <w:pPr>
              <w:jc w:val="left"/>
              <w:spacing w:before="200"/>
              <w:pStyle w:val="ImageCaption"/>
            </w:pPr>
            <w:r>
              <w:t xml:space="preserve">Table 1: Soil characteristics of the six long-term experimental sites. Data adapted from Hirte et al. (2021).</w:t>
            </w:r>
          </w:p>
          <w:tbl>
            <w:tblPr>
              <w:tblStyle w:val="Table"/>
              <w:tblW w:type="pct" w:w="5000"/>
              <w:tblLayout w:type="fixed"/>
              <w:tblLook w:firstRow="1" w:lastRow="0" w:firstColumn="0" w:lastColumn="0" w:noHBand="0" w:noVBand="0" w:val="0020"/>
            </w:tblPr>
            <w:tblGrid>
              <w:gridCol w:w="557"/>
              <w:gridCol w:w="2454"/>
              <w:gridCol w:w="1003"/>
              <w:gridCol w:w="1003"/>
              <w:gridCol w:w="1896"/>
              <w:gridCol w:w="1003"/>
            </w:tblGrid>
            <w:tr>
              <w:trPr>
                <w:tblHeader w:val="on"/>
              </w:trPr>
              <w:tc>
                <w:tcPr/>
                <w:p>
                  <w:pPr>
                    <w:pStyle w:val="Compact"/>
                    <w:jc w:val="left"/>
                    <w:jc w:val="center"/>
                  </w:pPr>
                  <w:r>
                    <w:t xml:space="preserve">Site</w:t>
                  </w:r>
                </w:p>
              </w:tc>
              <w:tc>
                <w:tcPr/>
                <w:p>
                  <w:pPr>
                    <w:pStyle w:val="Compact"/>
                    <w:jc w:val="left"/>
                    <w:jc w:val="center"/>
                  </w:pPr>
                  <w:r>
                    <w:t xml:space="preserve">Soil Type (WRB)</w:t>
                  </w:r>
                </w:p>
              </w:tc>
              <w:tc>
                <w:tcPr/>
                <w:p>
                  <w:pPr>
                    <w:pStyle w:val="Compact"/>
                    <w:jc w:val="right"/>
                    <w:jc w:val="center"/>
                  </w:pPr>
                  <w:r>
                    <w:t xml:space="preserve">Clay (%)</w:t>
                  </w:r>
                </w:p>
              </w:tc>
              <w:tc>
                <w:tcPr/>
                <w:p>
                  <w:pPr>
                    <w:pStyle w:val="Compact"/>
                    <w:jc w:val="right"/>
                    <w:jc w:val="center"/>
                  </w:pPr>
                  <w:r>
                    <w:t xml:space="preserve">Sand (%)</w:t>
                  </w:r>
                </w:p>
              </w:tc>
              <w:tc>
                <w:tcPr/>
                <w:p>
                  <w:pPr>
                    <w:pStyle w:val="Compact"/>
                    <w:jc w:val="right"/>
                    <w:jc w:val="center"/>
                  </w:pPr>
                  <w:r>
                    <w:t xml:space="preserve">Organic C (g/kg)</w:t>
                  </w:r>
                </w:p>
              </w:tc>
              <w:tc>
                <w:tcPr/>
                <w:p>
                  <w:pPr>
                    <w:pStyle w:val="Compact"/>
                    <w:jc w:val="right"/>
                    <w:jc w:val="center"/>
                  </w:pPr>
                  <w:r>
                    <w:t xml:space="preserve">pH (H2O)</w:t>
                  </w:r>
                </w:p>
              </w:tc>
            </w:tr>
            <w:tr>
              <w:tc>
                <w:tcPr/>
                <w:p>
                  <w:pPr>
                    <w:pStyle w:val="Compact"/>
                    <w:jc w:val="left"/>
                    <w:jc w:val="center"/>
                  </w:pPr>
                  <w:r>
                    <w:t xml:space="preserve">ALT</w:t>
                  </w:r>
                </w:p>
              </w:tc>
              <w:tc>
                <w:tcPr/>
                <w:p>
                  <w:pPr>
                    <w:pStyle w:val="Compact"/>
                    <w:jc w:val="left"/>
                    <w:jc w:val="center"/>
                  </w:pPr>
                  <w:r>
                    <w:t xml:space="preserve">Calcaric Cambisol</w:t>
                  </w:r>
                </w:p>
              </w:tc>
              <w:tc>
                <w:tcPr/>
                <w:p>
                  <w:pPr>
                    <w:pStyle w:val="Compact"/>
                    <w:jc w:val="right"/>
                    <w:jc w:val="center"/>
                  </w:pPr>
                  <w:r>
                    <w:t xml:space="preserve">22</w:t>
                  </w:r>
                </w:p>
              </w:tc>
              <w:tc>
                <w:tcPr/>
                <w:p>
                  <w:pPr>
                    <w:pStyle w:val="Compact"/>
                    <w:jc w:val="right"/>
                    <w:jc w:val="center"/>
                  </w:pPr>
                  <w:r>
                    <w:t xml:space="preserve">48</w:t>
                  </w:r>
                </w:p>
              </w:tc>
              <w:tc>
                <w:tcPr/>
                <w:p>
                  <w:pPr>
                    <w:pStyle w:val="Compact"/>
                    <w:jc w:val="right"/>
                    <w:jc w:val="center"/>
                  </w:pPr>
                  <w:r>
                    <w:t xml:space="preserve">21</w:t>
                  </w:r>
                </w:p>
              </w:tc>
              <w:tc>
                <w:tcPr/>
                <w:p>
                  <w:pPr>
                    <w:pStyle w:val="Compact"/>
                    <w:jc w:val="right"/>
                    <w:jc w:val="center"/>
                  </w:pPr>
                  <w:r>
                    <w:t xml:space="preserve">7.9</w:t>
                  </w:r>
                </w:p>
              </w:tc>
            </w:tr>
            <w:tr>
              <w:tc>
                <w:tcPr/>
                <w:p>
                  <w:pPr>
                    <w:pStyle w:val="Compact"/>
                    <w:jc w:val="left"/>
                    <w:jc w:val="center"/>
                  </w:pPr>
                  <w:r>
                    <w:t xml:space="preserve">CAD</w:t>
                  </w:r>
                </w:p>
              </w:tc>
              <w:tc>
                <w:tcPr/>
                <w:p>
                  <w:pPr>
                    <w:pStyle w:val="Compact"/>
                    <w:jc w:val="left"/>
                    <w:jc w:val="center"/>
                  </w:pPr>
                  <w:r>
                    <w:t xml:space="preserve">Eutric Fluvisol</w:t>
                  </w:r>
                </w:p>
              </w:tc>
              <w:tc>
                <w:tcPr/>
                <w:p>
                  <w:pPr>
                    <w:pStyle w:val="Compact"/>
                    <w:jc w:val="right"/>
                    <w:jc w:val="center"/>
                  </w:pPr>
                  <w:r>
                    <w:t xml:space="preserve">8</w:t>
                  </w:r>
                </w:p>
              </w:tc>
              <w:tc>
                <w:tcPr/>
                <w:p>
                  <w:pPr>
                    <w:pStyle w:val="Compact"/>
                    <w:jc w:val="right"/>
                    <w:jc w:val="center"/>
                  </w:pPr>
                  <w:r>
                    <w:t xml:space="preserve">40</w:t>
                  </w:r>
                </w:p>
              </w:tc>
              <w:tc>
                <w:tcPr/>
                <w:p>
                  <w:pPr>
                    <w:pStyle w:val="Compact"/>
                    <w:jc w:val="right"/>
                    <w:jc w:val="center"/>
                  </w:pPr>
                  <w:r>
                    <w:t xml:space="preserve">14</w:t>
                  </w:r>
                </w:p>
              </w:tc>
              <w:tc>
                <w:tcPr/>
                <w:p>
                  <w:pPr>
                    <w:pStyle w:val="Compact"/>
                    <w:jc w:val="right"/>
                    <w:jc w:val="center"/>
                  </w:pPr>
                  <w:r>
                    <w:t xml:space="preserve">6.3</w:t>
                  </w:r>
                </w:p>
              </w:tc>
            </w:tr>
            <w:tr>
              <w:tc>
                <w:tcPr/>
                <w:p>
                  <w:pPr>
                    <w:pStyle w:val="Compact"/>
                    <w:jc w:val="left"/>
                    <w:jc w:val="center"/>
                  </w:pPr>
                  <w:r>
                    <w:t xml:space="preserve">ELL</w:t>
                  </w:r>
                </w:p>
              </w:tc>
              <w:tc>
                <w:tcPr/>
                <w:p>
                  <w:pPr>
                    <w:pStyle w:val="Compact"/>
                    <w:jc w:val="left"/>
                    <w:jc w:val="center"/>
                  </w:pPr>
                  <w:r>
                    <w:t xml:space="preserve">Eutric Cambisol</w:t>
                  </w:r>
                </w:p>
              </w:tc>
              <w:tc>
                <w:tcPr/>
                <w:p>
                  <w:pPr>
                    <w:pStyle w:val="Compact"/>
                    <w:jc w:val="right"/>
                    <w:jc w:val="center"/>
                  </w:pPr>
                  <w:r>
                    <w:t xml:space="preserve">33</w:t>
                  </w:r>
                </w:p>
              </w:tc>
              <w:tc>
                <w:tcPr/>
                <w:p>
                  <w:pPr>
                    <w:pStyle w:val="Compact"/>
                    <w:jc w:val="right"/>
                    <w:jc w:val="center"/>
                  </w:pPr>
                  <w:r>
                    <w:t xml:space="preserve">31</w:t>
                  </w:r>
                </w:p>
              </w:tc>
              <w:tc>
                <w:tcPr/>
                <w:p>
                  <w:pPr>
                    <w:pStyle w:val="Compact"/>
                    <w:jc w:val="right"/>
                    <w:jc w:val="center"/>
                  </w:pPr>
                  <w:r>
                    <w:t xml:space="preserve">23</w:t>
                  </w:r>
                </w:p>
              </w:tc>
              <w:tc>
                <w:tcPr/>
                <w:p>
                  <w:pPr>
                    <w:pStyle w:val="Compact"/>
                    <w:jc w:val="right"/>
                    <w:jc w:val="center"/>
                  </w:pPr>
                  <w:r>
                    <w:t xml:space="preserve">6.6</w:t>
                  </w:r>
                </w:p>
              </w:tc>
            </w:tr>
            <w:tr>
              <w:tc>
                <w:tcPr/>
                <w:p>
                  <w:pPr>
                    <w:pStyle w:val="Compact"/>
                    <w:jc w:val="left"/>
                    <w:jc w:val="center"/>
                  </w:pPr>
                  <w:r>
                    <w:t xml:space="preserve">GRA</w:t>
                  </w:r>
                </w:p>
              </w:tc>
              <w:tc>
                <w:tcPr/>
                <w:p>
                  <w:pPr>
                    <w:pStyle w:val="Compact"/>
                    <w:jc w:val="left"/>
                    <w:jc w:val="center"/>
                  </w:pPr>
                  <w:r>
                    <w:t xml:space="preserve">Calcaric Fluvisol</w:t>
                  </w:r>
                </w:p>
              </w:tc>
              <w:tc>
                <w:tcPr/>
                <w:p>
                  <w:pPr>
                    <w:pStyle w:val="Compact"/>
                    <w:jc w:val="right"/>
                    <w:jc w:val="center"/>
                  </w:pPr>
                  <w:r>
                    <w:t xml:space="preserve">17</w:t>
                  </w:r>
                </w:p>
              </w:tc>
              <w:tc>
                <w:tcPr/>
                <w:p>
                  <w:pPr>
                    <w:pStyle w:val="Compact"/>
                    <w:jc w:val="right"/>
                    <w:jc w:val="center"/>
                  </w:pPr>
                  <w:r>
                    <w:t xml:space="preserve">34</w:t>
                  </w:r>
                </w:p>
              </w:tc>
              <w:tc>
                <w:tcPr/>
                <w:p>
                  <w:pPr>
                    <w:pStyle w:val="Compact"/>
                    <w:jc w:val="right"/>
                    <w:jc w:val="center"/>
                  </w:pPr>
                  <w:r>
                    <w:t xml:space="preserve">16</w:t>
                  </w:r>
                </w:p>
              </w:tc>
              <w:tc>
                <w:tcPr/>
                <w:p>
                  <w:pPr>
                    <w:pStyle w:val="Compact"/>
                    <w:jc w:val="right"/>
                    <w:jc w:val="center"/>
                  </w:pPr>
                  <w:r>
                    <w:t xml:space="preserve">8.3</w:t>
                  </w:r>
                </w:p>
              </w:tc>
            </w:tr>
            <w:tr>
              <w:tc>
                <w:tcPr/>
                <w:p>
                  <w:pPr>
                    <w:pStyle w:val="Compact"/>
                    <w:jc w:val="left"/>
                    <w:jc w:val="center"/>
                  </w:pPr>
                  <w:r>
                    <w:t xml:space="preserve">OEN</w:t>
                  </w:r>
                </w:p>
              </w:tc>
              <w:tc>
                <w:tcPr/>
                <w:p>
                  <w:pPr>
                    <w:pStyle w:val="Compact"/>
                    <w:jc w:val="left"/>
                    <w:jc w:val="center"/>
                  </w:pPr>
                  <w:r>
                    <w:t xml:space="preserve">Gleyic-calc. Cambisol</w:t>
                  </w:r>
                </w:p>
              </w:tc>
              <w:tc>
                <w:tcPr/>
                <w:p>
                  <w:pPr>
                    <w:pStyle w:val="Compact"/>
                    <w:jc w:val="right"/>
                    <w:jc w:val="center"/>
                  </w:pPr>
                  <w:r>
                    <w:t xml:space="preserve">37</w:t>
                  </w:r>
                </w:p>
              </w:tc>
              <w:tc>
                <w:tcPr/>
                <w:p>
                  <w:pPr>
                    <w:pStyle w:val="Compact"/>
                    <w:jc w:val="right"/>
                    <w:jc w:val="center"/>
                  </w:pPr>
                  <w:r>
                    <w:t xml:space="preserve">32</w:t>
                  </w:r>
                </w:p>
              </w:tc>
              <w:tc>
                <w:tcPr/>
                <w:p>
                  <w:pPr>
                    <w:pStyle w:val="Compact"/>
                    <w:jc w:val="right"/>
                    <w:jc w:val="center"/>
                  </w:pPr>
                  <w:r>
                    <w:t xml:space="preserve">24</w:t>
                  </w:r>
                </w:p>
              </w:tc>
              <w:tc>
                <w:tcPr/>
                <w:p>
                  <w:pPr>
                    <w:pStyle w:val="Compact"/>
                    <w:jc w:val="right"/>
                    <w:jc w:val="center"/>
                  </w:pPr>
                  <w:r>
                    <w:t xml:space="preserve">7.1</w:t>
                  </w:r>
                </w:p>
              </w:tc>
            </w:tr>
            <w:tr>
              <w:tc>
                <w:tcPr/>
                <w:p>
                  <w:pPr>
                    <w:pStyle w:val="Compact"/>
                    <w:jc w:val="left"/>
                    <w:jc w:val="center"/>
                  </w:pPr>
                  <w:r>
                    <w:t xml:space="preserve">REC</w:t>
                  </w:r>
                </w:p>
              </w:tc>
              <w:tc>
                <w:tcPr/>
                <w:p>
                  <w:pPr>
                    <w:pStyle w:val="Compact"/>
                    <w:jc w:val="left"/>
                    <w:jc w:val="center"/>
                  </w:pPr>
                  <w:r>
                    <w:t xml:space="preserve">Eutric Gleysol</w:t>
                  </w:r>
                </w:p>
              </w:tc>
              <w:tc>
                <w:tcPr/>
                <w:p>
                  <w:pPr>
                    <w:pStyle w:val="Compact"/>
                    <w:jc w:val="right"/>
                    <w:jc w:val="center"/>
                  </w:pPr>
                  <w:r>
                    <w:t xml:space="preserve">39</w:t>
                  </w:r>
                </w:p>
              </w:tc>
              <w:tc>
                <w:tcPr/>
                <w:p>
                  <w:pPr>
                    <w:pStyle w:val="Compact"/>
                    <w:jc w:val="right"/>
                    <w:jc w:val="center"/>
                  </w:pPr>
                  <w:r>
                    <w:t xml:space="preserve">25</w:t>
                  </w:r>
                </w:p>
              </w:tc>
              <w:tc>
                <w:tcPr/>
                <w:p>
                  <w:pPr>
                    <w:pStyle w:val="Compact"/>
                    <w:jc w:val="right"/>
                    <w:jc w:val="center"/>
                  </w:pPr>
                  <w:r>
                    <w:t xml:space="preserve">27</w:t>
                  </w:r>
                </w:p>
              </w:tc>
              <w:tc>
                <w:tcPr/>
                <w:p>
                  <w:pPr>
                    <w:pStyle w:val="Compact"/>
                    <w:jc w:val="right"/>
                    <w:jc w:val="center"/>
                  </w:pPr>
                  <w:r>
                    <w:t xml:space="preserve">7.4</w:t>
                  </w:r>
                </w:p>
              </w:tc>
            </w:tr>
          </w:tbl>
          <w:bookmarkEnd w:id="19"/>
          <w:p/>
        </w:tc>
      </w:tr>
    </w:tbl>
    <w:p>
      <w:pPr>
        <w:pStyle w:val="BodyText"/>
      </w:pPr>
      <w:r>
        <w:t xml:space="preserve">Soil samples for this thesis were collected in the year 2022 from the topsoil layer (0-20 cm).</w:t>
      </w:r>
    </w:p>
    <w:bookmarkEnd w:id="20"/>
    <w:bookmarkStart w:id="23" w:name="sec-phosphorus-desorption-kinetics"/>
    <w:p>
      <w:pPr>
        <w:pStyle w:val="Heading2"/>
      </w:pPr>
      <w:r>
        <w:t xml:space="preserve">2.3 Phosphorus Desorption Kinetics and Thermodynamics</w:t>
      </w:r>
    </w:p>
    <w:p>
      <w:pPr>
        <w:pStyle w:val="FirstParagraph"/>
      </w:pPr>
      <w:r>
        <w:t xml:space="preserve">The laboratory extraction of phosphorus was based on the sequential kinetic principles established by</w:t>
      </w:r>
      <w:r>
        <w:t xml:space="preserve"> </w:t>
      </w:r>
      <w:r>
        <w:t xml:space="preserve">Flossmann &amp; Richter (1982)</w:t>
      </w:r>
      <w:r>
        <w:t xml:space="preserve">, subsequently modified to capture high-resolution temporal kinetics and corrected to reflect true thermodynamic activity.</w:t>
      </w:r>
    </w:p>
    <w:bookmarkStart w:id="21" w:name="Xbd6c1e5704c75ae9a98b5e8f17a138b0c980a04"/>
    <w:p>
      <w:pPr>
        <w:pStyle w:val="Heading3"/>
      </w:pPr>
      <w:r>
        <w:t xml:space="preserve">2.3.1 Adapted Kinetic Protocol for This Study</w:t>
      </w:r>
    </w:p>
    <w:p>
      <w:pPr>
        <w:pStyle w:val="FirstParagraph"/>
      </w:pPr>
      <w:r>
        <w:t xml:space="preserve">To capture the desorption process with high temporal resolution while preserving the native soil matrix, a modified water-extraction protocol was employed:</w:t>
      </w:r>
    </w:p>
    <w:p>
      <w:pPr>
        <w:pStyle w:val="Compact"/>
        <w:numPr>
          <w:ilvl w:val="0"/>
          <w:numId w:val="1002"/>
        </w:numPr>
      </w:pPr>
      <w:r>
        <w:rPr>
          <w:b/>
          <w:bCs/>
        </w:rPr>
        <w:t xml:space="preserve">Pre-washing to Remove Soluble P</w:t>
      </w:r>
      <w:r>
        <w:t xml:space="preserve">: 10 g of air-dried soil was suspended in 200 ml of deionized water and shaken for 60 minutes at 120 Hz. The suspension was centrifuged for 15 minutes at 4000 rpm, and the supernatant containing the readily soluble P was discarded.</w:t>
      </w:r>
    </w:p>
    <w:p>
      <w:pPr>
        <w:pStyle w:val="Compact"/>
        <w:numPr>
          <w:ilvl w:val="0"/>
          <w:numId w:val="1002"/>
        </w:numPr>
      </w:pPr>
      <w:r>
        <w:rPr>
          <w:b/>
          <w:bCs/>
        </w:rPr>
        <w:t xml:space="preserve">Kinetic Extraction</w:t>
      </w:r>
      <w:r>
        <w:t xml:space="preserve">: The remaining soil pellet was resuspended in 200 ml of fresh deionized water. The suspension was shaken continuously, and subsamples were taken at eight time points: 2, 4, 10, 15, 20, 30, 45, and 60 minutes.</w:t>
      </w:r>
    </w:p>
    <w:p>
      <w:pPr>
        <w:pStyle w:val="Compact"/>
        <w:numPr>
          <w:ilvl w:val="0"/>
          <w:numId w:val="1002"/>
        </w:numPr>
      </w:pPr>
      <w:r>
        <w:rPr>
          <w:b/>
          <w:bCs/>
        </w:rPr>
        <w:t xml:space="preserve">Analysis</w:t>
      </w:r>
      <w:r>
        <w:t xml:space="preserve">: Subsamples were immediately filtered, and the stoichiometric concentration of orthophosphate (</w:t>
      </w:r>
      <m:oMath>
        <m:sSub>
          <m:e>
            <m:r>
              <m:t>c</m:t>
            </m:r>
          </m:e>
          <m:sub>
            <m:r>
              <m:t>i</m:t>
            </m:r>
          </m:sub>
        </m:sSub>
      </m:oMath>
      <w:r>
        <w:t xml:space="preserve">) was determined colorimetrically using the malachite green method</w:t>
      </w:r>
      <w:r>
        <w:t xml:space="preserve"> </w:t>
      </w:r>
      <w:r>
        <w:t xml:space="preserve">(Van Veldhoven &amp; Mannaerts, 1987)</w:t>
      </w:r>
      <w:r>
        <w:t xml:space="preserve">.</w:t>
      </w:r>
    </w:p>
    <w:bookmarkEnd w:id="21"/>
    <w:bookmarkStart w:id="22" w:name="sec-thermodynamic-correction"/>
    <w:p>
      <w:pPr>
        <w:pStyle w:val="Heading3"/>
      </w:pPr>
      <w:r>
        <w:t xml:space="preserve">2.3.2 Thermodynamic Correction to Chemical Activity</w:t>
      </w:r>
    </w:p>
    <w:p>
      <w:pPr>
        <w:pStyle w:val="FirstParagraph"/>
      </w:pPr>
      <w:r>
        <w:t xml:space="preserve">Although the kinetic extraction utilized deionized water, the immediate dissolution of native soil salts (</w:t>
      </w:r>
      <m:oMath>
        <m:r>
          <m:t>C</m:t>
        </m:r>
        <m:sSup>
          <m:e>
            <m:r>
              <m:t>a</m:t>
            </m:r>
          </m:e>
          <m:sup>
            <m:r>
              <m:t>2</m:t>
            </m:r>
            <m:r>
              <m:rPr>
                <m:sty m:val="p"/>
              </m:rPr>
              <m:t>+</m:t>
            </m:r>
          </m:sup>
        </m:sSup>
        <m:r>
          <m:rPr>
            <m:sty m:val="p"/>
          </m:rPr>
          <m:t>,</m:t>
        </m:r>
        <m:r>
          <m:t>M</m:t>
        </m:r>
        <m:sSup>
          <m:e>
            <m:r>
              <m:t>g</m:t>
            </m:r>
          </m:e>
          <m:sup>
            <m:r>
              <m:t>2</m:t>
            </m:r>
            <m:r>
              <m:rPr>
                <m:sty m:val="p"/>
              </m:rPr>
              <m:t>+</m:t>
            </m:r>
          </m:sup>
        </m:sSup>
        <m:r>
          <m:rPr>
            <m:sty m:val="p"/>
          </m:rPr>
          <m:t>,</m:t>
        </m:r>
        <m:sSup>
          <m:e>
            <m:r>
              <m:t>K</m:t>
            </m:r>
          </m:e>
          <m:sup>
            <m:r>
              <m:rPr>
                <m:sty m:val="p"/>
              </m:rPr>
              <m:t>+</m:t>
            </m:r>
          </m:sup>
        </m:sSup>
      </m:oMath>
      <w:r>
        <w:t xml:space="preserve">, etc.) generates a non-zero ionic strength (</w:t>
      </w:r>
      <m:oMath>
        <m:r>
          <m:t>I</m:t>
        </m:r>
      </m:oMath>
      <w:r>
        <w:t xml:space="preserve">) in the suspension. Because plant roots respond to thermodynamic energy rather than physical mass, the stoichiometric concentration of the extract (</w:t>
      </w:r>
      <m:oMath>
        <m:sSub>
          <m:e>
            <m:r>
              <m:t>c</m:t>
            </m:r>
          </m:e>
          <m:sub>
            <m:r>
              <m:t>i</m:t>
            </m:r>
          </m:sub>
        </m:sSub>
      </m:oMath>
      <w:r>
        <w:t xml:space="preserve">) must be corrected to its true chemical activity (</w:t>
      </w:r>
      <m:oMath>
        <m:sSub>
          <m:e>
            <m:r>
              <m:t>a</m:t>
            </m:r>
          </m:e>
          <m:sub>
            <m:r>
              <m:t>i</m:t>
            </m:r>
          </m:sub>
        </m:sSub>
      </m:oMath>
      <w:r>
        <w:t xml:space="preserve">).</w:t>
      </w:r>
    </w:p>
    <w:p>
      <w:pPr>
        <w:pStyle w:val="BodyText"/>
      </w:pPr>
      <w:r>
        <w:t xml:space="preserve">The activity coefficient (</w:t>
      </w:r>
      <m:oMath>
        <m:r>
          <m:t>γ</m:t>
        </m:r>
      </m:oMath>
      <w:r>
        <w:t xml:space="preserve">) for the divalent phosphate ion (</w:t>
      </w:r>
      <m:oMath>
        <m:r>
          <m:t>H</m:t>
        </m:r>
        <m:r>
          <m:t>P</m:t>
        </m:r>
        <m:sSubSup>
          <m:e>
            <m:r>
              <m:t>O</m:t>
            </m:r>
          </m:e>
          <m:sub>
            <m:r>
              <m:t>4</m:t>
            </m:r>
          </m:sub>
          <m:sup>
            <m:r>
              <m:t>2</m:t>
            </m:r>
            <m:r>
              <m:rPr>
                <m:sty m:val="p"/>
              </m:rPr>
              <m:t>−</m:t>
            </m:r>
          </m:sup>
        </m:sSubSup>
      </m:oMath>
      <w:r>
        <w:t xml:space="preserve">,</w:t>
      </w:r>
      <w:r>
        <w:t xml:space="preserve"> </w:t>
      </w:r>
      <m:oMath>
        <m:r>
          <m:t>z</m:t>
        </m:r>
        <m:r>
          <m:rPr>
            <m:sty m:val="p"/>
          </m:rPr>
          <m:t>=</m:t>
        </m:r>
        <m:r>
          <m:rPr>
            <m:sty m:val="p"/>
          </m:rPr>
          <m:t>−</m:t>
        </m:r>
        <m:r>
          <m:t>2</m:t>
        </m:r>
      </m:oMath>
      <w:r>
        <w:t xml:space="preserve">) was calculated for each site-specific matrix using the</w:t>
      </w:r>
      <w:r>
        <w:t xml:space="preserve"> </w:t>
      </w:r>
      <w:r>
        <w:rPr>
          <w:b/>
          <w:bCs/>
        </w:rPr>
        <w:t xml:space="preserve">Davies Equation</w:t>
      </w:r>
      <w:r>
        <w:t xml:space="preserve">, which is highly robust for agricultural soil solutions up to</w:t>
      </w:r>
      <w:r>
        <w:t xml:space="preserve"> </w:t>
      </w:r>
      <m:oMath>
        <m:r>
          <m:t>I</m:t>
        </m:r>
        <m:r>
          <m:rPr>
            <m:sty m:val="p"/>
          </m:rPr>
          <m:t>≈</m:t>
        </m:r>
        <m:r>
          <m:t>0.1</m:t>
        </m:r>
        <m:r>
          <m:rPr>
            <m:nor/>
            <m:sty m:val="p"/>
          </m:rPr>
          <m:t> M</m:t>
        </m:r>
      </m:oMath>
      <w:r>
        <w:t xml:space="preserve">:</w:t>
      </w:r>
    </w:p>
    <w:p>
      <w:pPr>
        <w:pStyle w:val="BodyText"/>
      </w:pPr>
      <m:oMathPara>
        <m:oMathParaPr>
          <m:jc m:val="center"/>
        </m:oMathParaPr>
        <m:oMath>
          <m:sSub>
            <m:e>
              <m:r>
                <m:rPr>
                  <m:sty m:val="p"/>
                </m:rPr>
                <m:t>log</m:t>
              </m:r>
            </m:e>
            <m:sub>
              <m:r>
                <m:t>10</m:t>
              </m:r>
            </m:sub>
          </m:sSub>
          <m:r>
            <m:rPr>
              <m:sty m:val="p"/>
            </m:rPr>
            <m:t>(</m:t>
          </m:r>
          <m:r>
            <m:t>γ</m:t>
          </m:r>
          <m:r>
            <m:rPr>
              <m:sty m:val="p"/>
            </m:rPr>
            <m:t>)</m:t>
          </m:r>
          <m:r>
            <m:rPr>
              <m:sty m:val="p"/>
            </m:rPr>
            <m:t>=</m:t>
          </m:r>
          <m:r>
            <m:rPr>
              <m:sty m:val="p"/>
            </m:rPr>
            <m:t>−</m:t>
          </m:r>
          <m:r>
            <m:t>0.5</m:t>
          </m:r>
          <m:r>
            <m:rPr>
              <m:sty m:val="p"/>
            </m:rPr>
            <m:t>⋅</m:t>
          </m:r>
          <m:sSup>
            <m:e>
              <m:r>
                <m:t>z</m:t>
              </m:r>
            </m:e>
            <m:sup>
              <m:r>
                <m:t>2</m:t>
              </m:r>
            </m:sup>
          </m:sSup>
          <m:d>
            <m:dPr>
              <m:begChr m:val="("/>
              <m:sepChr m:val=""/>
              <m:endChr m:val=")"/>
              <m:grow/>
            </m:dPr>
            <m:e>
              <m:f>
                <m:fPr>
                  <m:type m:val="bar"/>
                </m:fPr>
                <m:num>
                  <m:rad>
                    <m:radPr>
                      <m:degHide m:val="on"/>
                    </m:radPr>
                    <m:deg/>
                    <m:e>
                      <m:r>
                        <m:t>I</m:t>
                      </m:r>
                    </m:e>
                  </m:rad>
                </m:num>
                <m:den>
                  <m:r>
                    <m:t>1</m:t>
                  </m:r>
                  <m:r>
                    <m:rPr>
                      <m:sty m:val="p"/>
                    </m:rPr>
                    <m:t>+</m:t>
                  </m:r>
                  <m:rad>
                    <m:radPr>
                      <m:degHide m:val="on"/>
                    </m:radPr>
                    <m:deg/>
                    <m:e>
                      <m:r>
                        <m:t>I</m:t>
                      </m:r>
                    </m:e>
                  </m:rad>
                </m:den>
              </m:f>
              <m:r>
                <m:rPr>
                  <m:sty m:val="p"/>
                </m:rPr>
                <m:t>−</m:t>
              </m:r>
              <m:r>
                <m:t>0.3</m:t>
              </m:r>
              <m:r>
                <m:t>I</m:t>
              </m:r>
            </m:e>
          </m:d>
        </m:oMath>
      </m:oMathPara>
    </w:p>
    <w:p>
      <w:pPr>
        <w:pStyle w:val="FirstParagraph"/>
      </w:pPr>
      <w:r>
        <w:t xml:space="preserve">The true thermodynamic activity (</w:t>
      </w:r>
      <m:oMath>
        <m:sSub>
          <m:e>
            <m:r>
              <m:t>a</m:t>
            </m:r>
          </m:e>
          <m:sub>
            <m:r>
              <m:t>i</m:t>
            </m:r>
          </m:sub>
        </m:sSub>
      </m:oMath>
      <w:r>
        <w:t xml:space="preserve">) of the phosphorus in the extract was then calculated as the product of the raw stoichiometric concentration and the activity coefficient:</w:t>
      </w:r>
    </w:p>
    <w:p>
      <w:pPr>
        <w:pStyle w:val="BodyText"/>
      </w:pPr>
      <m:oMathPara>
        <m:oMathParaPr>
          <m:jc m:val="center"/>
        </m:oMathParaPr>
        <m:oMath>
          <m:sSub>
            <m:e>
              <m:r>
                <m:t>a</m:t>
              </m:r>
            </m:e>
            <m:sub>
              <m:r>
                <m:t>i</m:t>
              </m:r>
            </m:sub>
          </m:sSub>
          <m:r>
            <m:rPr>
              <m:sty m:val="p"/>
            </m:rPr>
            <m:t>=</m:t>
          </m:r>
          <m:sSub>
            <m:e>
              <m:r>
                <m:t>c</m:t>
              </m:r>
            </m:e>
            <m:sub>
              <m:r>
                <m:t>i</m:t>
              </m:r>
            </m:sub>
          </m:sSub>
          <m:r>
            <m:rPr>
              <m:sty m:val="p"/>
            </m:rPr>
            <m:t>⋅</m:t>
          </m:r>
          <m:r>
            <m:t>γ</m:t>
          </m:r>
        </m:oMath>
      </m:oMathPara>
    </w:p>
    <w:p>
      <w:pPr>
        <w:pStyle w:val="FirstParagraph"/>
      </w:pPr>
      <w:r>
        <w:t xml:space="preserve">This correction neutralizes pedochemical variances caused by differing native background salinities and pH levels across the STYCS sites, converting the raw data into a universal thermodynamic Intensity (</w:t>
      </w:r>
      <m:oMath>
        <m:r>
          <m:t>I</m:t>
        </m:r>
      </m:oMath>
      <w:r>
        <w:t xml:space="preserve">) metric.</w:t>
      </w:r>
    </w:p>
    <w:bookmarkEnd w:id="22"/>
    <w:bookmarkEnd w:id="23"/>
    <w:bookmarkStart w:id="30" w:name="sec-statistical-analysis"/>
    <w:p>
      <w:pPr>
        <w:pStyle w:val="Heading2"/>
      </w:pPr>
      <w:r>
        <w:t xml:space="preserve">2.4 Statistical Analysis and Modeling</w:t>
      </w:r>
    </w:p>
    <w:p>
      <w:pPr>
        <w:pStyle w:val="FirstParagraph"/>
      </w:pPr>
      <w:r>
        <w:t xml:space="preserve">All data processing, mathematical modeling, and visualization were conducted using the R programming language (v. 4.3.1)</w:t>
      </w:r>
      <w:r>
        <w:t xml:space="preserve"> </w:t>
      </w:r>
      <w:r>
        <w:t xml:space="preserve">(R Core Team, 2022)</w:t>
      </w:r>
      <w:r>
        <w:t xml:space="preserve">. Primary packages included</w:t>
      </w:r>
      <w:r>
        <w:t xml:space="preserve"> </w:t>
      </w:r>
      <w:r>
        <w:rPr>
          <w:rStyle w:val="VerbatimChar"/>
        </w:rPr>
        <w:t xml:space="preserve">nlme</w:t>
      </w:r>
      <w:r>
        <w:t xml:space="preserve"> </w:t>
      </w:r>
      <w:r>
        <w:t xml:space="preserve">(Pinheiro et al., 2022)</w:t>
      </w:r>
      <w:r>
        <w:t xml:space="preserve"> </w:t>
      </w:r>
      <w:r>
        <w:t xml:space="preserve">for non-linear kinetic modeling,</w:t>
      </w:r>
      <w:r>
        <w:t xml:space="preserve"> </w:t>
      </w:r>
      <w:r>
        <w:rPr>
          <w:rStyle w:val="VerbatimChar"/>
        </w:rPr>
        <w:t xml:space="preserve">lme4</w:t>
      </w:r>
      <w:r>
        <w:t xml:space="preserve"> </w:t>
      </w:r>
      <w:r>
        <w:t xml:space="preserve">(Bates et al., 2015)</w:t>
      </w:r>
      <w:r>
        <w:t xml:space="preserve"> </w:t>
      </w:r>
      <w:r>
        <w:t xml:space="preserve">for linear mixed-effects modeling, and</w:t>
      </w:r>
      <w:r>
        <w:t xml:space="preserve"> </w:t>
      </w:r>
      <w:r>
        <w:rPr>
          <w:rStyle w:val="VerbatimChar"/>
        </w:rPr>
        <w:t xml:space="preserve">deSolve</w:t>
      </w:r>
      <w:r>
        <w:t xml:space="preserve"> </w:t>
      </w:r>
      <w:r>
        <w:t xml:space="preserve">and</w:t>
      </w:r>
      <w:r>
        <w:t xml:space="preserve"> </w:t>
      </w:r>
      <w:r>
        <w:rPr>
          <w:rStyle w:val="VerbatimChar"/>
        </w:rPr>
        <w:t xml:space="preserve">ReacTran</w:t>
      </w:r>
      <w:r>
        <w:t xml:space="preserve"> </w:t>
      </w:r>
      <w:r>
        <w:t xml:space="preserve">for partial differential equation solving.</w:t>
      </w:r>
    </w:p>
    <w:bookmarkStart w:id="24" w:name="X66c8e447a19c304ef14b8d97356eebce6eb189a"/>
    <w:p>
      <w:pPr>
        <w:pStyle w:val="Heading3"/>
      </w:pPr>
      <w:r>
        <w:t xml:space="preserve">2.4.1 1. Modeling of Desorption Kinetics and the Activity Flux (</w:t>
      </w:r>
      <m:oMath>
        <m:sSub>
          <m:e>
            <m:r>
              <m:t>J</m:t>
            </m:r>
          </m:e>
          <m:sub>
            <m:r>
              <m:t>0</m:t>
            </m:r>
          </m:sub>
        </m:sSub>
      </m:oMath>
      <w:r>
        <w:t xml:space="preserve">)</w:t>
      </w:r>
    </w:p>
    <w:p>
      <w:pPr>
        <w:pStyle w:val="FirstParagraph"/>
      </w:pPr>
      <w:r>
        <w:t xml:space="preserve">To derive the kinetic parameters, a non-linear mixed-effects model (</w:t>
      </w:r>
      <w:r>
        <w:rPr>
          <w:rStyle w:val="VerbatimChar"/>
        </w:rPr>
        <w:t xml:space="preserve">nlme</w:t>
      </w:r>
      <w:r>
        <w:t xml:space="preserve">) was fitted to the exact solution of the first-order rate equation, utilizing the thermodynamically corrected activities:</w:t>
      </w:r>
    </w:p>
    <w:p>
      <w:pPr>
        <w:pStyle w:val="BodyText"/>
      </w:pPr>
      <m:oMathPara>
        <m:oMathParaPr>
          <m:jc m:val="center"/>
        </m:oMathParaPr>
        <m:oMath>
          <m:r>
            <m:t>a</m:t>
          </m:r>
          <m:r>
            <m:rPr>
              <m:sty m:val="p"/>
            </m:rPr>
            <m:t>(</m:t>
          </m:r>
          <m:r>
            <m:t>t</m:t>
          </m:r>
          <m:r>
            <m:rPr>
              <m:sty m:val="p"/>
            </m:rPr>
            <m:t>)</m:t>
          </m:r>
          <m:r>
            <m:rPr>
              <m:sty m:val="p"/>
            </m:rPr>
            <m:t>=</m:t>
          </m:r>
          <m:sSub>
            <m:e>
              <m:r>
                <m:t>a</m:t>
              </m:r>
            </m:e>
            <m:sub>
              <m:r>
                <m:t>m</m:t>
              </m:r>
              <m:r>
                <m:t>a</m:t>
              </m:r>
              <m:r>
                <m:t>x</m:t>
              </m:r>
            </m:sub>
          </m:sSub>
          <m:r>
            <m:rPr>
              <m:sty m:val="p"/>
            </m:rPr>
            <m:t>×</m:t>
          </m:r>
          <m:r>
            <m:rPr>
              <m:sty m:val="p"/>
            </m:rPr>
            <m:t>(</m:t>
          </m:r>
          <m:r>
            <m:t>1</m:t>
          </m:r>
          <m:r>
            <m:rPr>
              <m:sty m:val="p"/>
            </m:rPr>
            <m:t>−</m:t>
          </m:r>
          <m:sSup>
            <m:e>
              <m:r>
                <m:t>e</m:t>
              </m:r>
            </m:e>
            <m:sup>
              <m:r>
                <m:rPr>
                  <m:sty m:val="p"/>
                </m:rPr>
                <m:t>−</m:t>
              </m:r>
              <m:r>
                <m:t>k</m:t>
              </m:r>
              <m:r>
                <m:rPr>
                  <m:sty m:val="p"/>
                </m:rPr>
                <m:t>×</m:t>
              </m:r>
              <m:sSup>
                <m:e>
                  <m:r>
                    <m:t>t</m:t>
                  </m:r>
                </m:e>
                <m:sup>
                  <m:r>
                    <m:rPr>
                      <m:sty m:val="p"/>
                    </m:rPr>
                    <m:t>′</m:t>
                  </m:r>
                </m:sup>
              </m:sSup>
            </m:sup>
          </m:sSup>
          <m:r>
            <m:rPr>
              <m:sty m:val="p"/>
            </m:rPr>
            <m:t>)</m:t>
          </m:r>
        </m:oMath>
      </m:oMathPara>
    </w:p>
    <w:p>
      <w:pPr>
        <w:pStyle w:val="FirstParagraph"/>
      </w:pPr>
      <w:r>
        <w:t xml:space="preserve">Where</w:t>
      </w:r>
      <w:r>
        <w:t xml:space="preserve"> </w:t>
      </w:r>
      <m:oMath>
        <m:r>
          <m:t>a</m:t>
        </m:r>
        <m:r>
          <m:rPr>
            <m:sty m:val="p"/>
          </m:rPr>
          <m:t>(</m:t>
        </m:r>
        <m:r>
          <m:t>t</m:t>
        </m:r>
        <m:r>
          <m:rPr>
            <m:sty m:val="p"/>
          </m:rPr>
          <m:t>)</m:t>
        </m:r>
      </m:oMath>
      <w:r>
        <w:t xml:space="preserve"> </w:t>
      </w:r>
      <w:r>
        <w:t xml:space="preserve">is the P activity at time</w:t>
      </w:r>
      <w:r>
        <w:t xml:space="preserve"> </w:t>
      </w:r>
      <m:oMath>
        <m:r>
          <m:t>t</m:t>
        </m:r>
      </m:oMath>
      <w:r>
        <w:t xml:space="preserve">,</w:t>
      </w:r>
      <w:r>
        <w:t xml:space="preserve"> </w:t>
      </w:r>
      <m:oMath>
        <m:sSub>
          <m:e>
            <m:r>
              <m:t>a</m:t>
            </m:r>
          </m:e>
          <m:sub>
            <m:r>
              <m:t>m</m:t>
            </m:r>
            <m:r>
              <m:t>a</m:t>
            </m:r>
            <m:r>
              <m:t>x</m:t>
            </m:r>
          </m:sub>
        </m:sSub>
      </m:oMath>
      <w:r>
        <w:t xml:space="preserve"> </w:t>
      </w:r>
      <w:r>
        <w:t xml:space="preserve">is the maximum thermodynamic activity of the desorbable P pool (the asymptote),</w:t>
      </w:r>
      <w:r>
        <w:t xml:space="preserve"> </w:t>
      </w:r>
      <m:oMath>
        <m:r>
          <m:t>k</m:t>
        </m:r>
      </m:oMath>
      <w:r>
        <w:t xml:space="preserve"> </w:t>
      </w:r>
      <w:r>
        <w:t xml:space="preserve">is the first-order desorption rate constant, and</w:t>
      </w:r>
      <w:r>
        <w:t xml:space="preserve"> </w:t>
      </w:r>
      <m:oMath>
        <m:sSup>
          <m:e>
            <m:r>
              <m:t>t</m:t>
            </m:r>
          </m:e>
          <m:sup>
            <m:r>
              <m:rPr>
                <m:sty m:val="p"/>
              </m:rPr>
              <m:t>′</m:t>
            </m:r>
          </m:sup>
        </m:sSup>
      </m:oMath>
      <w:r>
        <w:t xml:space="preserve"> </w:t>
      </w:r>
      <w:r>
        <w:t xml:space="preserve">is an adjusted time (</w:t>
      </w:r>
      <m:oMath>
        <m:sSub>
          <m:e>
            <m:r>
              <m:t>t</m:t>
            </m:r>
          </m:e>
          <m:sub>
            <m:r>
              <m:t>m</m:t>
            </m:r>
            <m:r>
              <m:t>i</m:t>
            </m:r>
            <m:r>
              <m:t>n</m:t>
            </m:r>
          </m:sub>
        </m:sSub>
        <m:r>
          <m:rPr>
            <m:sty m:val="p"/>
          </m:rPr>
          <m:t>+</m:t>
        </m:r>
        <m:r>
          <m:t>3</m:t>
        </m:r>
        <m:r>
          <m:rPr>
            <m:nor/>
            <m:sty m:val="p"/>
          </m:rPr>
          <m:t> min</m:t>
        </m:r>
      </m:oMath>
      <w:r>
        <w:t xml:space="preserve">) accounting for initial dissolution. Sample-specific deviations were modeled as random effects to capture the unique desorption characteristics of each soil.</w:t>
      </w:r>
    </w:p>
    <w:p>
      <w:pPr>
        <w:pStyle w:val="BodyText"/>
      </w:pPr>
      <w:r>
        <w:t xml:space="preserve">From these parameters, a novel predictor for agronomic availability, the</w:t>
      </w:r>
      <w:r>
        <w:t xml:space="preserve"> </w:t>
      </w:r>
      <w:r>
        <w:rPr>
          <w:b/>
          <w:bCs/>
        </w:rPr>
        <w:t xml:space="preserve">Initial Activity Flux (</w:t>
      </w:r>
      <m:oMath>
        <m:sSub>
          <m:e>
            <m:r>
              <m:t>J</m:t>
            </m:r>
          </m:e>
          <m:sub>
            <m:r>
              <m:t>0</m:t>
            </m:r>
          </m:sub>
        </m:sSub>
      </m:oMath>
      <w:r>
        <w:rPr>
          <w:b/>
          <w:bCs/>
        </w:rPr>
        <w:t xml:space="preserve">)</w:t>
      </w:r>
      <w:r>
        <w:t xml:space="preserve">, was defined mathematically as the product of the rate constant and the maximum thermodynamic activity:</w:t>
      </w:r>
    </w:p>
    <w:p>
      <w:pPr>
        <w:pStyle w:val="BodyText"/>
      </w:pPr>
      <m:oMathPara>
        <m:oMathParaPr>
          <m:jc m:val="center"/>
        </m:oMathParaPr>
        <m:oMath>
          <m:sSub>
            <m:e>
              <m:r>
                <m:t>J</m:t>
              </m:r>
            </m:e>
            <m:sub>
              <m:r>
                <m:t>0</m:t>
              </m:r>
            </m:sub>
          </m:sSub>
          <m:r>
            <m:rPr>
              <m:sty m:val="p"/>
            </m:rPr>
            <m:t>=</m:t>
          </m:r>
          <m:r>
            <m:t>k</m:t>
          </m:r>
          <m:r>
            <m:rPr>
              <m:sty m:val="p"/>
            </m:rPr>
            <m:t>⋅</m:t>
          </m:r>
          <m:sSub>
            <m:e>
              <m:r>
                <m:t>a</m:t>
              </m:r>
            </m:e>
            <m:sub>
              <m:r>
                <m:t>m</m:t>
              </m:r>
              <m:r>
                <m:t>a</m:t>
              </m:r>
              <m:r>
                <m:t>x</m:t>
              </m:r>
            </m:sub>
          </m:sSub>
        </m:oMath>
      </m:oMathPara>
    </w:p>
    <w:bookmarkEnd w:id="24"/>
    <w:bookmarkStart w:id="25" w:name="X1cf47a909557ed9ebde43d137cb1950c10fa0a6"/>
    <w:p>
      <w:pPr>
        <w:pStyle w:val="Heading3"/>
      </w:pPr>
      <w:r>
        <w:t xml:space="preserve">2.4.2 2. Thermodynamic</w:t>
      </w:r>
      <w:r>
        <w:t xml:space="preserve"> </w:t>
      </w:r>
      <m:oMath>
        <m:r>
          <m:t>Q</m:t>
        </m:r>
        <m:r>
          <m:rPr>
            <m:sty m:val="p"/>
          </m:rPr>
          <m:t>(</m:t>
        </m:r>
        <m:r>
          <m:t>I</m:t>
        </m:r>
        <m:r>
          <m:rPr>
            <m:sty m:val="p"/>
          </m:rPr>
          <m:t>)</m:t>
        </m:r>
      </m:oMath>
      <w:r>
        <w:t xml:space="preserve"> </w:t>
      </w:r>
      <w:r>
        <w:t xml:space="preserve">Isotherms and Buffering Capacity</w:t>
      </w:r>
    </w:p>
    <w:p>
      <w:pPr>
        <w:pStyle w:val="FirstParagraph"/>
      </w:pPr>
      <w:r>
        <w:t xml:space="preserve">To deduce the Phosphorus Buffering Capacity (PBC), a thermodynamic Quantity-Intensity (</w:t>
      </w:r>
      <m:oMath>
        <m:r>
          <m:t>Q</m:t>
        </m:r>
        <m:r>
          <m:rPr>
            <m:sty m:val="p"/>
          </m:rPr>
          <m:t>/</m:t>
        </m:r>
        <m:r>
          <m:t>I</m:t>
        </m:r>
      </m:oMath>
      <w:r>
        <w:t xml:space="preserve">) framework was constructed. The</w:t>
      </w:r>
      <w:r>
        <w:t xml:space="preserve"> </w:t>
      </w:r>
      <m:oMath>
        <m:sSub>
          <m:e>
            <m:r>
              <m:t>P</m:t>
            </m:r>
          </m:e>
          <m:sub>
            <m:r>
              <m:t>A</m:t>
            </m:r>
            <m:r>
              <m:t>A</m:t>
            </m:r>
            <m:r>
              <m:t>E</m:t>
            </m:r>
            <m:r>
              <m:t>10</m:t>
            </m:r>
          </m:sub>
        </m:sSub>
      </m:oMath>
      <w:r>
        <w:t xml:space="preserve"> </w:t>
      </w:r>
      <w:r>
        <w:t xml:space="preserve">extraction was utilized as the standard mass Quantity (</w:t>
      </w:r>
      <m:oMath>
        <m:r>
          <m:t>Q</m:t>
        </m:r>
      </m:oMath>
      <w:r>
        <w:t xml:space="preserve">,</w:t>
      </w:r>
      <w:r>
        <w:t xml:space="preserve"> </w:t>
      </w:r>
      <m:oMath>
        <m:sSup>
          <m:e>
            <m:r>
              <m:rPr>
                <m:nor/>
                <m:sty m:val="p"/>
              </m:rPr>
              <m:t>mg P kg</m:t>
            </m:r>
          </m:e>
          <m:sup>
            <m:r>
              <m:rPr>
                <m:sty m:val="p"/>
              </m:rPr>
              <m:t>−</m:t>
            </m:r>
            <m:r>
              <m:t>1</m:t>
            </m:r>
          </m:sup>
        </m:sSup>
      </m:oMath>
      <w:r>
        <w:t xml:space="preserve">), while the Davies-corrected</w:t>
      </w:r>
      <w:r>
        <w:t xml:space="preserve"> </w:t>
      </w:r>
      <m:oMath>
        <m:sSub>
          <m:e>
            <m:r>
              <m:t>a</m:t>
            </m:r>
          </m:e>
          <m:sub>
            <m:r>
              <m:t>m</m:t>
            </m:r>
            <m:r>
              <m:t>a</m:t>
            </m:r>
            <m:r>
              <m:t>x</m:t>
            </m:r>
          </m:sub>
        </m:sSub>
      </m:oMath>
      <w:r>
        <w:t xml:space="preserve"> </w:t>
      </w:r>
      <w:r>
        <w:t xml:space="preserve">was utilized as the native Intensity (</w:t>
      </w:r>
      <m:oMath>
        <m:r>
          <m:t>I</m:t>
        </m:r>
      </m:oMath>
      <w:r>
        <w:t xml:space="preserve">,</w:t>
      </w:r>
      <w:r>
        <w:t xml:space="preserve"> </w:t>
      </w:r>
      <m:oMath>
        <m:r>
          <m:t>μ</m:t>
        </m:r>
        <m:r>
          <m:rPr>
            <m:nor/>
            <m:sty m:val="p"/>
          </m:rPr>
          <m:t>M</m:t>
        </m:r>
      </m:oMath>
      <w:r>
        <w:t xml:space="preserve">).</w:t>
      </w:r>
    </w:p>
    <w:p>
      <w:pPr>
        <w:pStyle w:val="BodyText"/>
      </w:pPr>
      <w:r>
        <w:t xml:space="preserve">The relationship between these variables across the varying fertilizer treatments at each site was parameterized using a log-linearized</w:t>
      </w:r>
      <w:r>
        <w:t xml:space="preserve"> </w:t>
      </w:r>
      <w:r>
        <w:rPr>
          <w:b/>
          <w:bCs/>
        </w:rPr>
        <w:t xml:space="preserve">Freundlich Isotherm</w:t>
      </w:r>
      <w:r>
        <w:t xml:space="preserve">:</w:t>
      </w:r>
    </w:p>
    <w:p>
      <w:pPr>
        <w:pStyle w:val="BodyText"/>
      </w:pPr>
      <m:oMathPara>
        <m:oMathParaPr>
          <m:jc m:val="center"/>
        </m:oMathParaPr>
        <m:oMath>
          <m:r>
            <m:t>Q</m:t>
          </m:r>
          <m:r>
            <m:rPr>
              <m:sty m:val="p"/>
            </m:rPr>
            <m:t>=</m:t>
          </m:r>
          <m:sSub>
            <m:e>
              <m:r>
                <m:t>K</m:t>
              </m:r>
            </m:e>
            <m:sub>
              <m:r>
                <m:t>f</m:t>
              </m:r>
            </m:sub>
          </m:sSub>
          <m:r>
            <m:rPr>
              <m:sty m:val="p"/>
            </m:rPr>
            <m:t>⋅</m:t>
          </m:r>
          <m:sSup>
            <m:e>
              <m:r>
                <m:t>I</m:t>
              </m:r>
            </m:e>
            <m:sup>
              <m:f>
                <m:fPr>
                  <m:type m:val="bar"/>
                </m:fPr>
                <m:num>
                  <m:r>
                    <m:t>1</m:t>
                  </m:r>
                </m:num>
                <m:den>
                  <m:r>
                    <m:t>n</m:t>
                  </m:r>
                </m:den>
              </m:f>
            </m:sup>
          </m:sSup>
        </m:oMath>
      </m:oMathPara>
    </w:p>
    <w:p>
      <w:pPr>
        <w:pStyle w:val="FirstParagraph"/>
      </w:pPr>
      <w:r>
        <w:t xml:space="preserve">The true thermodynamic PBC for each specific site and state was then calculated analytically as the first derivative of the fitted Freundlich isotherm with respect to Intensity:</w:t>
      </w:r>
    </w:p>
    <w:p>
      <w:pPr>
        <w:pStyle w:val="BodyText"/>
      </w:pPr>
      <m:oMathPara>
        <m:oMathParaPr>
          <m:jc m:val="center"/>
        </m:oMathParaPr>
        <m:oMath>
          <m:r>
            <m:rPr>
              <m:nor/>
              <m:sty m:val="p"/>
            </m:rPr>
            <m:t>PBC</m:t>
          </m:r>
          <m:r>
            <m:rPr>
              <m:sty m:val="p"/>
            </m:rPr>
            <m:t>=</m:t>
          </m:r>
          <m:f>
            <m:fPr>
              <m:type m:val="bar"/>
            </m:fPr>
            <m:num>
              <m:r>
                <m:t>d</m:t>
              </m:r>
              <m:r>
                <m:t>Q</m:t>
              </m:r>
            </m:num>
            <m:den>
              <m:r>
                <m:t>d</m:t>
              </m:r>
              <m:r>
                <m:t>I</m:t>
              </m:r>
            </m:den>
          </m:f>
          <m:r>
            <m:rPr>
              <m:sty m:val="p"/>
            </m:rPr>
            <m:t>=</m:t>
          </m:r>
          <m:sSub>
            <m:e>
              <m:r>
                <m:t>K</m:t>
              </m:r>
            </m:e>
            <m:sub>
              <m:r>
                <m:t>f</m:t>
              </m:r>
            </m:sub>
          </m:sSub>
          <m:r>
            <m:rPr>
              <m:sty m:val="p"/>
            </m:rPr>
            <m:t>⋅</m:t>
          </m:r>
          <m:f>
            <m:fPr>
              <m:type m:val="bar"/>
            </m:fPr>
            <m:num>
              <m:r>
                <m:t>1</m:t>
              </m:r>
            </m:num>
            <m:den>
              <m:r>
                <m:t>n</m:t>
              </m:r>
            </m:den>
          </m:f>
          <m:r>
            <m:rPr>
              <m:sty m:val="p"/>
            </m:rPr>
            <m:t>⋅</m:t>
          </m:r>
          <m:sSup>
            <m:e>
              <m:r>
                <m:t>I</m:t>
              </m:r>
            </m:e>
            <m:sup>
              <m:d>
                <m:dPr>
                  <m:begChr m:val="("/>
                  <m:sepChr m:val=""/>
                  <m:endChr m:val=")"/>
                  <m:grow/>
                </m:dPr>
                <m:e>
                  <m:f>
                    <m:fPr>
                      <m:type m:val="bar"/>
                    </m:fPr>
                    <m:num>
                      <m:r>
                        <m:t>1</m:t>
                      </m:r>
                    </m:num>
                    <m:den>
                      <m:r>
                        <m:t>n</m:t>
                      </m:r>
                    </m:den>
                  </m:f>
                  <m:r>
                    <m:rPr>
                      <m:sty m:val="p"/>
                    </m:rPr>
                    <m:t>−</m:t>
                  </m:r>
                  <m:r>
                    <m:t>1</m:t>
                  </m:r>
                </m:e>
              </m:d>
            </m:sup>
          </m:sSup>
        </m:oMath>
      </m:oMathPara>
    </w:p>
    <w:bookmarkEnd w:id="25"/>
    <w:bookmarkStart w:id="26" w:name="X1fad81012fcba959795e5efc9d9880b48046764"/>
    <w:p>
      <w:pPr>
        <w:pStyle w:val="Heading3"/>
      </w:pPr>
      <w:r>
        <w:t xml:space="preserve">2.4.3 3. Agronomic Normalization: The Historical Baseline Strategy</w:t>
      </w:r>
    </w:p>
    <w:p>
      <w:pPr>
        <w:pStyle w:val="FirstParagraph"/>
      </w:pPr>
      <w:r>
        <w:t xml:space="preserve">To statistically evaluate the predictive power of the chemical parameters across six highly diverse pedoclimatic sites, raw crop yield and P-uptake data required robust normalization to isolate chemical P-limitation from overarching climatic noise.</w:t>
      </w:r>
    </w:p>
    <w:p>
      <w:pPr>
        <w:pStyle w:val="BodyText"/>
      </w:pPr>
      <w:r>
        <w:t xml:space="preserve">Standard normalization (dividing by the maximum yield of a given site within the specific experimental year) was rejected, as it artificially masks broad climatic limitations (e.g., drought) and forces the best plot of a poor year to equal 100%, mathematically erasing the biological penalty. Instead, a</w:t>
      </w:r>
      <w:r>
        <w:t xml:space="preserve"> </w:t>
      </w:r>
      <w:r>
        <w:rPr>
          <w:b/>
          <w:bCs/>
        </w:rPr>
        <w:t xml:space="preserve">historical biological baseline strategy</w:t>
      </w:r>
      <w:r>
        <w:t xml:space="preserve"> </w:t>
      </w:r>
      <w:r>
        <w:t xml:space="preserve">was employed.</w:t>
      </w:r>
    </w:p>
    <w:p>
      <w:pPr>
        <w:pStyle w:val="BodyText"/>
      </w:pPr>
      <w:r>
        <w:t xml:space="preserve">Using the 40-year STYCS historical dataset, the true biological potential (</w:t>
      </w:r>
      <m:oMath>
        <m:sSub>
          <m:e>
            <m:r>
              <m:t>Y</m:t>
            </m:r>
          </m:e>
          <m:sub>
            <m:r>
              <m:t>m</m:t>
            </m:r>
            <m:r>
              <m:t>a</m:t>
            </m:r>
            <m:r>
              <m:t>x</m:t>
            </m:r>
          </m:sub>
        </m:sSub>
      </m:oMath>
      <w:r>
        <w:t xml:space="preserve"> </w:t>
      </w:r>
      <w:r>
        <w:t xml:space="preserve">and</w:t>
      </w:r>
      <w:r>
        <w:t xml:space="preserve"> </w:t>
      </w:r>
      <m:oMath>
        <m:r>
          <m:t>U</m:t>
        </m:r>
        <m:r>
          <m:t>p</m:t>
        </m:r>
        <m:r>
          <m:t>t</m:t>
        </m:r>
        <m:r>
          <m:t>a</m:t>
        </m:r>
        <m:r>
          <m:t>k</m:t>
        </m:r>
        <m:sSub>
          <m:e>
            <m:r>
              <m:t>e</m:t>
            </m:r>
          </m:e>
          <m:sub>
            <m:r>
              <m:t>m</m:t>
            </m:r>
            <m:r>
              <m:t>a</m:t>
            </m:r>
            <m:r>
              <m:t>x</m:t>
            </m:r>
          </m:sub>
        </m:sSub>
      </m:oMath>
      <w:r>
        <w:t xml:space="preserve">) was calculated for each specific site and crop species by taking the 95th percentile of all fully fertilized (100% and 167% P) treatments. Current experimental yields and uptake values were divided by this historical baseline to calculate</w:t>
      </w:r>
      <w:r>
        <w:t xml:space="preserve"> </w:t>
      </w:r>
      <w:r>
        <w:rPr>
          <w:b/>
          <w:bCs/>
        </w:rPr>
        <w:t xml:space="preserve">Relative Historical Yield (</w:t>
      </w:r>
      <m:oMath>
        <m:sSub>
          <m:e>
            <m:r>
              <m:t>Y</m:t>
            </m:r>
          </m:e>
          <m:sub>
            <m:r>
              <m:t>r</m:t>
            </m:r>
            <m:r>
              <m:t>e</m:t>
            </m:r>
            <m:r>
              <m:t>l</m:t>
            </m:r>
            <m:r>
              <m:rPr>
                <m:sty m:val="p"/>
              </m:rPr>
              <m:t>_</m:t>
            </m:r>
            <m:r>
              <m:t>h</m:t>
            </m:r>
            <m:r>
              <m:t>i</m:t>
            </m:r>
            <m:r>
              <m:t>s</m:t>
            </m:r>
            <m:r>
              <m:t>t</m:t>
            </m:r>
          </m:sub>
        </m:sSub>
      </m:oMath>
      <w:r>
        <w:rPr>
          <w:b/>
          <w:bCs/>
        </w:rPr>
        <w:t xml:space="preserve">)</w:t>
      </w:r>
      <w:r>
        <w:t xml:space="preserve">, providing a highly stable metric representing the percentage of the crop’s long-term biological potential achieved.</w:t>
      </w:r>
    </w:p>
    <w:bookmarkEnd w:id="26"/>
    <w:bookmarkStart w:id="28" w:name="X58542cabf128eedeee182ac79d5f1c7c4f09633"/>
    <w:p>
      <w:pPr>
        <w:pStyle w:val="Heading3"/>
      </w:pPr>
      <w:r>
        <w:t xml:space="preserve">2.4.4 4. Comparative Modeling of Agronomic Outcomes</w:t>
      </w:r>
    </w:p>
    <w:p>
      <w:pPr>
        <w:pStyle w:val="FirstParagraph"/>
      </w:pPr>
      <w:r>
        <w:t xml:space="preserve">To test the core hypothesis, two competing sets of linear mixed-effects models (</w:t>
      </w:r>
      <w:r>
        <w:rPr>
          <w:rStyle w:val="VerbatimChar"/>
        </w:rPr>
        <w:t xml:space="preserve">lmer</w:t>
      </w:r>
      <w:r>
        <w:t xml:space="preserve">) were constructed to predict</w:t>
      </w:r>
      <w:r>
        <w:t xml:space="preserve"> </w:t>
      </w:r>
      <m:oMath>
        <m:sSub>
          <m:e>
            <m:r>
              <m:t>Y</m:t>
            </m:r>
          </m:e>
          <m:sub>
            <m:r>
              <m:t>r</m:t>
            </m:r>
            <m:r>
              <m:t>e</m:t>
            </m:r>
            <m:r>
              <m:t>l</m:t>
            </m:r>
            <m:r>
              <m:rPr>
                <m:sty m:val="p"/>
              </m:rPr>
              <m:t>_</m:t>
            </m:r>
            <m:r>
              <m:t>h</m:t>
            </m:r>
            <m:r>
              <m:t>i</m:t>
            </m:r>
            <m:r>
              <m:t>s</m:t>
            </m:r>
            <m:r>
              <m:t>t</m:t>
            </m:r>
          </m:sub>
        </m:sSub>
      </m:oMath>
      <w:r>
        <w:t xml:space="preserve"> </w:t>
      </w:r>
      <w:r>
        <w:t xml:space="preserve">and Relative P-Uptake. Both sets shared an identical random effects structure—</w:t>
      </w:r>
      <w:r>
        <w:rPr>
          <w:rStyle w:val="VerbatimChar"/>
        </w:rPr>
        <w:t xml:space="preserve">(1|year) + (1|Site) + (1|Site:block)</w:t>
      </w:r>
      <w:r>
        <w:t xml:space="preserve">—to absorb unmeasured pedoclimatic and meteorological variance.</w:t>
      </w:r>
    </w:p>
    <w:p>
      <w:pPr>
        <w:pStyle w:val="Compact"/>
        <w:numPr>
          <w:ilvl w:val="0"/>
          <w:numId w:val="1003"/>
        </w:numPr>
      </w:pPr>
      <w:r>
        <w:rPr>
          <w:b/>
          <w:bCs/>
        </w:rPr>
        <w:t xml:space="preserve">Model 1: The Kinetic/Thermodynamic Approach:</w:t>
      </w:r>
      <w:r>
        <w:t xml:space="preserve"> </w:t>
      </w:r>
      <w:r>
        <w:t xml:space="preserve">Utilized the novel Activity Flux (</w:t>
      </w:r>
      <m:oMath>
        <m:sSub>
          <m:e>
            <m:r>
              <m:t>J</m:t>
            </m:r>
          </m:e>
          <m:sub>
            <m:r>
              <m:t>0</m:t>
            </m:r>
          </m:sub>
        </m:sSub>
      </m:oMath>
      <w:r>
        <w:t xml:space="preserve">) as the primary fixed effect, testing the hypothesis that dynamic supply rate dictates plant availability.</w:t>
      </w:r>
    </w:p>
    <w:p>
      <w:pPr>
        <w:pStyle w:val="Compact"/>
        <w:numPr>
          <w:ilvl w:val="0"/>
          <w:numId w:val="1003"/>
        </w:numPr>
      </w:pPr>
      <w:r>
        <w:rPr>
          <w:b/>
          <w:bCs/>
        </w:rPr>
        <w:t xml:space="preserve">Model 2: The Standard STP (GRUD) Approach:</w:t>
      </w:r>
      <w:r>
        <w:t xml:space="preserve"> </w:t>
      </w:r>
      <w:r>
        <w:t xml:space="preserve">Utilized the standard Swiss static soil tests (</w:t>
      </w:r>
      <m:oMath>
        <m:sSub>
          <m:e>
            <m:r>
              <m:t>P</m:t>
            </m:r>
          </m:e>
          <m:sub>
            <m:r>
              <m:t>C</m:t>
            </m:r>
            <m:r>
              <m:t>O</m:t>
            </m:r>
            <m:r>
              <m:t>2</m:t>
            </m:r>
          </m:sub>
        </m:sSub>
      </m:oMath>
      <w:r>
        <w:t xml:space="preserve"> </w:t>
      </w:r>
      <w:r>
        <w:t xml:space="preserve">and</w:t>
      </w:r>
      <w:r>
        <w:t xml:space="preserve"> </w:t>
      </w:r>
      <m:oMath>
        <m:sSub>
          <m:e>
            <m:r>
              <m:t>P</m:t>
            </m:r>
          </m:e>
          <m:sub>
            <m:r>
              <m:t>A</m:t>
            </m:r>
            <m:r>
              <m:t>A</m:t>
            </m:r>
            <m:r>
              <m:t>E</m:t>
            </m:r>
            <m:r>
              <m:t>10</m:t>
            </m:r>
          </m:sub>
        </m:sSub>
      </m:oMath>
      <w:r>
        <w:t xml:space="preserve">) and their interaction as fixed effects.</w:t>
      </w:r>
    </w:p>
    <w:tbl>
      <w:tblPr>
        <w:tblStyle w:val="Table"/>
        <w:tblW w:type="pct" w:w="5000"/>
        <w:tblLayout w:type="fixed"/>
        <w:tblLook w:firstRow="0" w:lastRow="0" w:firstColumn="0" w:lastColumn="0" w:noHBand="0" w:noVBand="0" w:val="0000"/>
      </w:tblPr>
      <w:tblGrid>
        <w:gridCol w:w="7920"/>
      </w:tblGrid>
      <w:tr>
        <w:tc>
          <w:tcPr/>
          <w:bookmarkStart w:id="27" w:name="tbl-variables-updated"/>
          <w:p>
            <w:pPr>
              <w:jc w:val="center"/>
            </w:pPr>
            <w:pPr>
              <w:jc w:val="left"/>
              <w:spacing w:before="200"/>
              <w:pStyle w:val="ImageCaption"/>
            </w:pPr>
            <w:r>
              <w:t xml:space="preserve">Table 2: Description of key variables used in the thermodynamic and agronomic models.</w:t>
            </w:r>
          </w:p>
          <w:tbl>
            <w:tblPr>
              <w:tblStyle w:val="Table"/>
              <w:tblW w:type="pct" w:w="5000"/>
              <w:tblLayout w:type="fixed"/>
              <w:tblLook w:firstRow="1" w:lastRow="0" w:firstColumn="0" w:lastColumn="0" w:noHBand="0" w:noVBand="0" w:val="0020"/>
            </w:tblPr>
            <w:tblGrid>
              <w:gridCol w:w="787"/>
              <w:gridCol w:w="1475"/>
              <w:gridCol w:w="639"/>
              <w:gridCol w:w="5017"/>
            </w:tblGrid>
            <w:tr>
              <w:trPr>
                <w:tblHeader w:val="on"/>
              </w:trPr>
              <w:tc>
                <w:tcPr/>
                <w:p>
                  <w:pPr>
                    <w:pStyle w:val="Compact"/>
                    <w:jc w:val="left"/>
                    <w:jc w:val="center"/>
                  </w:pPr>
                  <w:r>
                    <w:t xml:space="preserve">Abbreviation</w:t>
                  </w:r>
                </w:p>
              </w:tc>
              <w:tc>
                <w:tcPr/>
                <w:p>
                  <w:pPr>
                    <w:pStyle w:val="Compact"/>
                    <w:jc w:val="left"/>
                    <w:jc w:val="center"/>
                  </w:pPr>
                  <w:r>
                    <w:t xml:space="preserve">Variable</w:t>
                  </w:r>
                </w:p>
              </w:tc>
              <w:tc>
                <w:tcPr/>
                <w:p>
                  <w:pPr>
                    <w:pStyle w:val="Compact"/>
                    <w:jc w:val="left"/>
                    <w:jc w:val="center"/>
                  </w:pPr>
                  <w:r>
                    <w:t xml:space="preserve">Unit</w:t>
                  </w:r>
                </w:p>
              </w:tc>
              <w:tc>
                <w:tcPr/>
                <w:p>
                  <w:pPr>
                    <w:pStyle w:val="Compact"/>
                    <w:jc w:val="left"/>
                    <w:jc w:val="center"/>
                  </w:pPr>
                  <w:r>
                    <w:t xml:space="preserve">Description</w:t>
                  </w:r>
                </w:p>
              </w:tc>
            </w:tr>
            <w:tr>
              <w:tc>
                <w:tcPr/>
                <w:p>
                  <w:pPr>
                    <w:pStyle w:val="Compact"/>
                    <w:jc w:val="left"/>
                    <w:jc w:val="center"/>
                  </w:pPr>
                  <m:oMath>
                    <m:sSub>
                      <m:e>
                        <m:r>
                          <m:t>Y</m:t>
                        </m:r>
                      </m:e>
                      <m:sub>
                        <m:r>
                          <m:t>r</m:t>
                        </m:r>
                        <m:r>
                          <m:t>e</m:t>
                        </m:r>
                        <m:r>
                          <m:t>l</m:t>
                        </m:r>
                        <m:r>
                          <m:rPr>
                            <m:sty m:val="p"/>
                          </m:rPr>
                          <m:t>_</m:t>
                        </m:r>
                        <m:r>
                          <m:t>h</m:t>
                        </m:r>
                        <m:r>
                          <m:t>i</m:t>
                        </m:r>
                        <m:r>
                          <m:t>s</m:t>
                        </m:r>
                        <m:r>
                          <m:t>t</m:t>
                        </m:r>
                      </m:sub>
                    </m:sSub>
                  </m:oMath>
                </w:p>
              </w:tc>
              <w:tc>
                <w:tcPr/>
                <w:p>
                  <w:pPr>
                    <w:pStyle w:val="Compact"/>
                    <w:jc w:val="left"/>
                    <w:jc w:val="center"/>
                  </w:pPr>
                  <w:r>
                    <w:t xml:space="preserve">Relative Yield (Historic)</w:t>
                  </w:r>
                </w:p>
              </w:tc>
              <w:tc>
                <w:tcPr/>
                <w:p>
                  <w:pPr>
                    <w:pStyle w:val="Compact"/>
                    <w:jc w:val="left"/>
                    <w:jc w:val="center"/>
                  </w:pPr>
                  <w:r>
                    <w:t xml:space="preserve">unitless</w:t>
                  </w:r>
                </w:p>
              </w:tc>
              <w:tc>
                <w:tcPr/>
                <w:p>
                  <w:pPr>
                    <w:pStyle w:val="Compact"/>
                    <w:jc w:val="left"/>
                    <w:jc w:val="center"/>
                  </w:pPr>
                  <w:r>
                    <w:t xml:space="preserve">Plot yield normalized by the site/crop-specific 95th percentile of historical well-fertilized yields.</w:t>
                  </w:r>
                </w:p>
              </w:tc>
            </w:tr>
            <w:tr>
              <w:tc>
                <w:tcPr/>
                <w:p>
                  <w:pPr>
                    <w:pStyle w:val="Compact"/>
                    <w:jc w:val="left"/>
                    <w:jc w:val="center"/>
                  </w:pPr>
                  <m:oMath>
                    <m:r>
                      <m:t>U</m:t>
                    </m:r>
                    <m:r>
                      <m:t>p</m:t>
                    </m:r>
                    <m:r>
                      <m:t>t</m:t>
                    </m:r>
                    <m:r>
                      <m:t>a</m:t>
                    </m:r>
                    <m:r>
                      <m:t>k</m:t>
                    </m:r>
                    <m:sSub>
                      <m:e>
                        <m:r>
                          <m:t>e</m:t>
                        </m:r>
                      </m:e>
                      <m:sub>
                        <m:r>
                          <m:t>r</m:t>
                        </m:r>
                        <m:r>
                          <m:t>e</m:t>
                        </m:r>
                        <m:r>
                          <m:t>l</m:t>
                        </m:r>
                      </m:sub>
                    </m:sSub>
                  </m:oMath>
                </w:p>
              </w:tc>
              <w:tc>
                <w:tcPr/>
                <w:p>
                  <w:pPr>
                    <w:pStyle w:val="Compact"/>
                    <w:jc w:val="left"/>
                    <w:jc w:val="center"/>
                  </w:pPr>
                  <w:r>
                    <w:t xml:space="preserve">Relative P Uptake</w:t>
                  </w:r>
                </w:p>
              </w:tc>
              <w:tc>
                <w:tcPr/>
                <w:p>
                  <w:pPr>
                    <w:pStyle w:val="Compact"/>
                    <w:jc w:val="left"/>
                    <w:jc w:val="center"/>
                  </w:pPr>
                  <w:r>
                    <w:t xml:space="preserve">unitless</w:t>
                  </w:r>
                </w:p>
              </w:tc>
              <w:tc>
                <w:tcPr/>
                <w:p>
                  <w:pPr>
                    <w:pStyle w:val="Compact"/>
                    <w:jc w:val="left"/>
                    <w:jc w:val="center"/>
                  </w:pPr>
                  <w:r>
                    <w:t xml:space="preserve">Plot P-uptake normalized by historical maximum uptake for the specific site and crop.</w:t>
                  </w:r>
                </w:p>
              </w:tc>
            </w:tr>
            <w:tr>
              <w:tc>
                <w:tcPr/>
                <w:p>
                  <w:pPr>
                    <w:pStyle w:val="Compact"/>
                    <w:jc w:val="left"/>
                    <w:jc w:val="center"/>
                  </w:pPr>
                  <m:oMath>
                    <m:sSub>
                      <m:e>
                        <m:r>
                          <m:t>P</m:t>
                        </m:r>
                      </m:e>
                      <m:sub>
                        <m:r>
                          <m:t>b</m:t>
                        </m:r>
                        <m:r>
                          <m:t>a</m:t>
                        </m:r>
                        <m:r>
                          <m:t>l</m:t>
                        </m:r>
                      </m:sub>
                    </m:sSub>
                  </m:oMath>
                </w:p>
              </w:tc>
              <w:tc>
                <w:tcPr/>
                <w:p>
                  <w:pPr>
                    <w:pStyle w:val="Compact"/>
                    <w:jc w:val="left"/>
                    <w:jc w:val="center"/>
                  </w:pPr>
                  <w:r>
                    <w:t xml:space="preserve">Cumulative P Balance</w:t>
                  </w:r>
                </w:p>
              </w:tc>
              <w:tc>
                <w:tcPr/>
                <w:p>
                  <w:pPr>
                    <w:pStyle w:val="Compact"/>
                    <w:jc w:val="left"/>
                    <w:jc w:val="center"/>
                  </w:pPr>
                  <w:r>
                    <w:t xml:space="preserve">kg P ha⁻¹</w:t>
                  </w:r>
                </w:p>
              </w:tc>
              <w:tc>
                <w:tcPr/>
                <w:p>
                  <w:pPr>
                    <w:pStyle w:val="Compact"/>
                    <w:jc w:val="left"/>
                    <w:jc w:val="center"/>
                  </w:pPr>
                  <w:r>
                    <w:t xml:space="preserve">Long-term net P budget (inputs minus outputs).</w:t>
                  </w:r>
                </w:p>
              </w:tc>
            </w:tr>
            <w:tr>
              <w:tc>
                <w:tcPr/>
                <w:p>
                  <w:pPr>
                    <w:pStyle w:val="Compact"/>
                    <w:jc w:val="left"/>
                    <w:jc w:val="center"/>
                  </w:pPr>
                  <m:oMath>
                    <m:r>
                      <m:t>k</m:t>
                    </m:r>
                  </m:oMath>
                </w:p>
              </w:tc>
              <w:tc>
                <w:tcPr/>
                <w:p>
                  <w:pPr>
                    <w:pStyle w:val="Compact"/>
                    <w:jc w:val="left"/>
                    <w:jc w:val="center"/>
                  </w:pPr>
                  <w:r>
                    <w:t xml:space="preserve">Rate Constant</w:t>
                  </w:r>
                </w:p>
              </w:tc>
              <w:tc>
                <w:tcPr/>
                <w:p>
                  <w:pPr>
                    <w:pStyle w:val="Compact"/>
                    <w:jc w:val="left"/>
                    <w:jc w:val="center"/>
                  </w:pPr>
                  <w:r>
                    <w:t xml:space="preserve">min⁻¹</w:t>
                  </w:r>
                </w:p>
              </w:tc>
              <w:tc>
                <w:tcPr/>
                <w:p>
                  <w:pPr>
                    <w:pStyle w:val="Compact"/>
                    <w:jc w:val="left"/>
                    <w:jc w:val="center"/>
                  </w:pPr>
                  <w:r>
                    <w:t xml:space="preserve">First-order rate constant of P desorption.</w:t>
                  </w:r>
                </w:p>
              </w:tc>
            </w:tr>
            <w:tr>
              <w:tc>
                <w:tcPr/>
                <w:p>
                  <w:pPr>
                    <w:pStyle w:val="Compact"/>
                    <w:jc w:val="left"/>
                    <w:jc w:val="center"/>
                  </w:pPr>
                  <m:oMath>
                    <m:sSub>
                      <m:e>
                        <m:r>
                          <m:t>a</m:t>
                        </m:r>
                      </m:e>
                      <m:sub>
                        <m:r>
                          <m:t>m</m:t>
                        </m:r>
                        <m:r>
                          <m:t>a</m:t>
                        </m:r>
                        <m:r>
                          <m:t>x</m:t>
                        </m:r>
                      </m:sub>
                    </m:sSub>
                  </m:oMath>
                </w:p>
              </w:tc>
              <w:tc>
                <w:tcPr/>
                <w:p>
                  <w:pPr>
                    <w:pStyle w:val="Compact"/>
                    <w:jc w:val="left"/>
                    <w:jc w:val="center"/>
                  </w:pPr>
                  <w:r>
                    <w:t xml:space="preserve">Maximum Activity (Intensity)</w:t>
                  </w:r>
                </w:p>
              </w:tc>
              <w:tc>
                <w:tcPr/>
                <w:p>
                  <w:pPr>
                    <w:pStyle w:val="Compact"/>
                    <w:jc w:val="left"/>
                    <w:jc w:val="center"/>
                  </w:pPr>
                  <w:r>
                    <w:t xml:space="preserve">µM</w:t>
                  </w:r>
                </w:p>
              </w:tc>
              <w:tc>
                <w:tcPr/>
                <w:p>
                  <w:pPr>
                    <w:pStyle w:val="Compact"/>
                    <w:jc w:val="left"/>
                    <w:jc w:val="center"/>
                  </w:pPr>
                  <w:r>
                    <w:t xml:space="preserve">Davies-corrected thermodynamic activity asymptote of the water-desorbable P pool.</w:t>
                  </w:r>
                </w:p>
              </w:tc>
            </w:tr>
            <w:tr>
              <w:tc>
                <w:tcPr/>
                <w:p>
                  <w:pPr>
                    <w:pStyle w:val="Compact"/>
                    <w:jc w:val="left"/>
                    <w:jc w:val="center"/>
                  </w:pPr>
                  <m:oMath>
                    <m:sSub>
                      <m:e>
                        <m:r>
                          <m:t>J</m:t>
                        </m:r>
                      </m:e>
                      <m:sub>
                        <m:r>
                          <m:t>0</m:t>
                        </m:r>
                      </m:sub>
                    </m:sSub>
                  </m:oMath>
                </w:p>
              </w:tc>
              <w:tc>
                <w:tcPr/>
                <w:p>
                  <w:pPr>
                    <w:pStyle w:val="Compact"/>
                    <w:jc w:val="left"/>
                    <w:jc w:val="center"/>
                  </w:pPr>
                  <w:r>
                    <w:t xml:space="preserve">Activity Flux</w:t>
                  </w:r>
                </w:p>
              </w:tc>
              <w:tc>
                <w:tcPr/>
                <w:p>
                  <w:pPr>
                    <w:pStyle w:val="Compact"/>
                    <w:jc w:val="left"/>
                    <w:jc w:val="center"/>
                  </w:pPr>
                  <w:r>
                    <w:t xml:space="preserve">µM min⁻¹</w:t>
                  </w:r>
                </w:p>
              </w:tc>
              <w:tc>
                <w:tcPr/>
                <w:p>
                  <w:pPr>
                    <w:pStyle w:val="Compact"/>
                    <w:jc w:val="left"/>
                    <w:jc w:val="center"/>
                  </w:pPr>
                  <w:r>
                    <w:t xml:space="preserve">Initial thermodynamic supply rate, calculated as</w:t>
                  </w:r>
                  <w:r>
                    <w:t xml:space="preserve"> </w:t>
                  </w:r>
                  <m:oMath>
                    <m:r>
                      <m:t>k</m:t>
                    </m:r>
                    <m:r>
                      <m:rPr>
                        <m:sty m:val="p"/>
                      </m:rPr>
                      <m:t>×</m:t>
                    </m:r>
                    <m:sSub>
                      <m:e>
                        <m:r>
                          <m:t>a</m:t>
                        </m:r>
                      </m:e>
                      <m:sub>
                        <m:r>
                          <m:t>m</m:t>
                        </m:r>
                        <m:r>
                          <m:t>a</m:t>
                        </m:r>
                        <m:r>
                          <m:t>x</m:t>
                        </m:r>
                      </m:sub>
                    </m:sSub>
                  </m:oMath>
                  <w:r>
                    <w:t xml:space="preserve">.</w:t>
                  </w:r>
                </w:p>
              </w:tc>
            </w:tr>
            <w:tr>
              <w:tc>
                <w:tcPr/>
                <w:p>
                  <w:pPr>
                    <w:pStyle w:val="Compact"/>
                    <w:jc w:val="left"/>
                    <w:jc w:val="center"/>
                  </w:pPr>
                  <m:oMath>
                    <m:sSub>
                      <m:e>
                        <m:r>
                          <m:t>P</m:t>
                        </m:r>
                      </m:e>
                      <m:sub>
                        <m:r>
                          <m:t>A</m:t>
                        </m:r>
                        <m:r>
                          <m:t>A</m:t>
                        </m:r>
                        <m:r>
                          <m:t>E</m:t>
                        </m:r>
                        <m:r>
                          <m:t>10</m:t>
                        </m:r>
                      </m:sub>
                    </m:sSub>
                  </m:oMath>
                </w:p>
              </w:tc>
              <w:tc>
                <w:tcPr/>
                <w:p>
                  <w:pPr>
                    <w:pStyle w:val="Compact"/>
                    <w:jc w:val="left"/>
                    <w:jc w:val="center"/>
                  </w:pPr>
                  <w:r>
                    <w:t xml:space="preserve">Standard Mass (Quantity)</w:t>
                  </w:r>
                </w:p>
              </w:tc>
              <w:tc>
                <w:tcPr/>
                <w:p>
                  <w:pPr>
                    <w:pStyle w:val="Compact"/>
                    <w:jc w:val="left"/>
                    <w:jc w:val="center"/>
                  </w:pPr>
                  <w:r>
                    <w:t xml:space="preserve">mg P kg⁻¹</w:t>
                  </w:r>
                </w:p>
              </w:tc>
              <w:tc>
                <w:tcPr/>
                <w:p>
                  <w:pPr>
                    <w:pStyle w:val="Compact"/>
                    <w:jc w:val="left"/>
                    <w:jc w:val="center"/>
                  </w:pPr>
                  <w:r>
                    <w:t xml:space="preserve">Physical mass of extractable P (AAE10 method), acting as the Q-factor.</w:t>
                  </w:r>
                </w:p>
              </w:tc>
            </w:tr>
            <w:tr>
              <w:tc>
                <w:tcPr/>
                <w:p>
                  <w:pPr>
                    <w:pStyle w:val="Compact"/>
                    <w:jc w:val="left"/>
                    <w:jc w:val="center"/>
                  </w:pPr>
                  <m:oMath>
                    <m:r>
                      <m:rPr>
                        <m:nor/>
                        <m:sty m:val="p"/>
                      </m:rPr>
                      <m:t>PBC</m:t>
                    </m:r>
                  </m:oMath>
                </w:p>
              </w:tc>
              <w:tc>
                <w:tcPr/>
                <w:p>
                  <w:pPr>
                    <w:pStyle w:val="Compact"/>
                    <w:jc w:val="left"/>
                    <w:jc w:val="center"/>
                  </w:pPr>
                  <w:r>
                    <w:t xml:space="preserve">Phosphorus Buffering Capacity</w:t>
                  </w:r>
                </w:p>
              </w:tc>
              <w:tc>
                <w:tcPr/>
                <w:p>
                  <w:pPr>
                    <w:pStyle w:val="Compact"/>
                    <w:jc w:val="left"/>
                    <w:jc w:val="center"/>
                  </w:pPr>
                  <w:r>
                    <w:t xml:space="preserve">mg kg⁻¹ µM⁻¹</w:t>
                  </w:r>
                </w:p>
              </w:tc>
              <w:tc>
                <w:tcPr/>
                <w:p>
                  <w:pPr>
                    <w:pStyle w:val="Compact"/>
                    <w:jc w:val="left"/>
                    <w:jc w:val="center"/>
                  </w:pPr>
                  <w:r>
                    <w:t xml:space="preserve">The mathematical derivative (</w:t>
                  </w:r>
                  <m:oMath>
                    <m:r>
                      <m:t>d</m:t>
                    </m:r>
                    <m:r>
                      <m:t>Q</m:t>
                    </m:r>
                    <m:r>
                      <m:rPr>
                        <m:sty m:val="p"/>
                      </m:rPr>
                      <m:t>/</m:t>
                    </m:r>
                    <m:r>
                      <m:t>d</m:t>
                    </m:r>
                    <m:r>
                      <m:t>I</m:t>
                    </m:r>
                  </m:oMath>
                  <w:r>
                    <w:t xml:space="preserve">) of the site-specific Freundlich isotherm.</w:t>
                  </w:r>
                </w:p>
              </w:tc>
            </w:tr>
          </w:tbl>
          <w:bookmarkEnd w:id="27"/>
          <w:p/>
        </w:tc>
      </w:tr>
    </w:tbl>
    <w:bookmarkEnd w:id="28"/>
    <w:bookmarkStart w:id="29" w:name="X44bb14175a86972320c11f91acf6da54ae42ffd"/>
    <w:p>
      <w:pPr>
        <w:pStyle w:val="Heading3"/>
      </w:pPr>
      <w:r>
        <w:t xml:space="preserve">2.4.5 5. Mechanistic Modeling of the Rhizosphere (Barber-Cushman Modification)</w:t>
      </w:r>
    </w:p>
    <w:p>
      <w:pPr>
        <w:pStyle w:val="FirstParagraph"/>
      </w:pPr>
      <w:r>
        <w:t xml:space="preserve">To mechanistically validate the field-scale statistical findings and visualize the limitations of static buffering capacity, a modified radial transport model based on Barber-Cushman principles was constructed. Standard iterations of the Barber-Cushman model calculate radial diffusion using stoichiometric concentration (</w:t>
      </w:r>
      <m:oMath>
        <m:sSub>
          <m:e>
            <m:r>
              <m:t>C</m:t>
            </m:r>
          </m:e>
          <m:sub>
            <m:r>
              <m:t>l</m:t>
            </m:r>
          </m:sub>
        </m:sSub>
      </m:oMath>
      <w:r>
        <w:t xml:space="preserve">) and a static buffer power (</w:t>
      </w:r>
      <m:oMath>
        <m:r>
          <m:t>b</m:t>
        </m:r>
        <m:r>
          <m:rPr>
            <m:sty m:val="p"/>
          </m:rPr>
          <m:t>=</m:t>
        </m:r>
        <m:r>
          <m:rPr>
            <m:sty m:val="p"/>
          </m:rPr>
          <m:t>Δ</m:t>
        </m:r>
        <m:r>
          <m:t>Q</m:t>
        </m:r>
        <m:r>
          <m:rPr>
            <m:sty m:val="p"/>
          </m:rPr>
          <m:t>/</m:t>
        </m:r>
        <m:r>
          <m:rPr>
            <m:sty m:val="p"/>
          </m:rPr>
          <m:t>Δ</m:t>
        </m:r>
        <m:r>
          <m:t>I</m:t>
        </m:r>
      </m:oMath>
      <w:r>
        <w:t xml:space="preserve">), effectively assuming instantaneous soil-solution equilibrium.</w:t>
      </w:r>
    </w:p>
    <w:p>
      <w:pPr>
        <w:pStyle w:val="BodyText"/>
      </w:pPr>
      <w:r>
        <w:t xml:space="preserve">To reflect the kinetic bottlenecks identified in this study, the partial differential equation (PDE) for radial transport in cylindrical coordinates was modified. The driving gradient was shifted to thermodynamic activity (</w:t>
      </w:r>
      <m:oMath>
        <m:sSub>
          <m:e>
            <m:r>
              <m:t>a</m:t>
            </m:r>
          </m:e>
          <m:sub>
            <m:r>
              <m:t>l</m:t>
            </m:r>
          </m:sub>
        </m:sSub>
      </m:oMath>
      <w:r>
        <w:t xml:space="preserve">), and the static buffer power was replaced with a dynamic, first-order kinetic source term (</w:t>
      </w:r>
      <m:oMath>
        <m:sSub>
          <m:e>
            <m:r>
              <m:t>R</m:t>
            </m:r>
          </m:e>
          <m:sub>
            <m:r>
              <m:t>d</m:t>
            </m:r>
            <m:r>
              <m:t>e</m:t>
            </m:r>
            <m:r>
              <m:t>s</m:t>
            </m:r>
            <m:r>
              <m:t>o</m:t>
            </m:r>
            <m:r>
              <m:t>r</m:t>
            </m:r>
            <m:r>
              <m:t>p</m:t>
            </m:r>
            <m:r>
              <m:t>t</m:t>
            </m:r>
            <m:r>
              <m:t>i</m:t>
            </m:r>
            <m:r>
              <m:t>o</m:t>
            </m:r>
            <m:r>
              <m:t>n</m:t>
            </m:r>
          </m:sub>
        </m:sSub>
      </m:oMath>
      <w:r>
        <w:t xml:space="preserve">):</w:t>
      </w:r>
    </w:p>
    <w:p>
      <w:pPr>
        <w:pStyle w:val="BodyText"/>
      </w:pPr>
      <m:oMathPara>
        <m:oMathParaPr>
          <m:jc m:val="center"/>
        </m:oMathParaPr>
        <m:oMath>
          <m:f>
            <m:fPr>
              <m:type m:val="bar"/>
            </m:fPr>
            <m:num>
              <m:r>
                <m:rPr>
                  <m:sty m:val="p"/>
                </m:rPr>
                <m:t>∂</m:t>
              </m:r>
              <m:sSub>
                <m:e>
                  <m:r>
                    <m:t>a</m:t>
                  </m:r>
                </m:e>
                <m:sub>
                  <m:r>
                    <m:t>l</m:t>
                  </m:r>
                </m:sub>
              </m:sSub>
            </m:num>
            <m:den>
              <m:r>
                <m:rPr>
                  <m:sty m:val="p"/>
                </m:rPr>
                <m:t>∂</m:t>
              </m:r>
              <m:r>
                <m:t>t</m:t>
              </m:r>
            </m:den>
          </m:f>
          <m:r>
            <m:rPr>
              <m:sty m:val="p"/>
            </m:rPr>
            <m:t>=</m:t>
          </m:r>
          <m:sSub>
            <m:e>
              <m:r>
                <m:t>D</m:t>
              </m:r>
            </m:e>
            <m:sub>
              <m:r>
                <m:t>e</m:t>
              </m:r>
            </m:sub>
          </m:sSub>
          <m:d>
            <m:dPr>
              <m:begChr m:val="("/>
              <m:sepChr m:val=""/>
              <m:endChr m:val=")"/>
              <m:grow/>
            </m:dPr>
            <m:e>
              <m:f>
                <m:fPr>
                  <m:type m:val="bar"/>
                </m:fPr>
                <m:num>
                  <m:sSup>
                    <m:e>
                      <m:r>
                        <m:rPr>
                          <m:sty m:val="p"/>
                        </m:rPr>
                        <m:t>∂</m:t>
                      </m:r>
                    </m:e>
                    <m:sup>
                      <m:r>
                        <m:t>2</m:t>
                      </m:r>
                    </m:sup>
                  </m:sSup>
                  <m:sSub>
                    <m:e>
                      <m:r>
                        <m:t>a</m:t>
                      </m:r>
                    </m:e>
                    <m:sub>
                      <m:r>
                        <m:t>l</m:t>
                      </m:r>
                    </m:sub>
                  </m:sSub>
                </m:num>
                <m:den>
                  <m:r>
                    <m:rPr>
                      <m:sty m:val="p"/>
                    </m:rPr>
                    <m:t>∂</m:t>
                  </m:r>
                  <m:sSup>
                    <m:e>
                      <m:r>
                        <m:t>r</m:t>
                      </m:r>
                    </m:e>
                    <m:sup>
                      <m:r>
                        <m:t>2</m:t>
                      </m:r>
                    </m:sup>
                  </m:sSup>
                </m:den>
              </m:f>
              <m:r>
                <m:rPr>
                  <m:sty m:val="p"/>
                </m:rPr>
                <m:t>+</m:t>
              </m:r>
              <m:f>
                <m:fPr>
                  <m:type m:val="bar"/>
                </m:fPr>
                <m:num>
                  <m:r>
                    <m:t>1</m:t>
                  </m:r>
                </m:num>
                <m:den>
                  <m:r>
                    <m:t>r</m:t>
                  </m:r>
                </m:den>
              </m:f>
              <m:f>
                <m:fPr>
                  <m:type m:val="bar"/>
                </m:fPr>
                <m:num>
                  <m:r>
                    <m:rPr>
                      <m:sty m:val="p"/>
                    </m:rPr>
                    <m:t>∂</m:t>
                  </m:r>
                  <m:sSub>
                    <m:e>
                      <m:r>
                        <m:t>a</m:t>
                      </m:r>
                    </m:e>
                    <m:sub>
                      <m:r>
                        <m:t>l</m:t>
                      </m:r>
                    </m:sub>
                  </m:sSub>
                </m:num>
                <m:den>
                  <m:r>
                    <m:rPr>
                      <m:sty m:val="p"/>
                    </m:rPr>
                    <m:t>∂</m:t>
                  </m:r>
                  <m:r>
                    <m:t>r</m:t>
                  </m:r>
                </m:den>
              </m:f>
            </m:e>
          </m:d>
          <m:r>
            <m:rPr>
              <m:sty m:val="p"/>
            </m:rPr>
            <m:t>+</m:t>
          </m:r>
          <m:f>
            <m:fPr>
              <m:type m:val="bar"/>
            </m:fPr>
            <m:num>
              <m:sSub>
                <m:e>
                  <m:r>
                    <m:t>r</m:t>
                  </m:r>
                </m:e>
                <m:sub>
                  <m:r>
                    <m:t>0</m:t>
                  </m:r>
                </m:sub>
              </m:sSub>
              <m:sSub>
                <m:e>
                  <m:r>
                    <m:t>v</m:t>
                  </m:r>
                </m:e>
                <m:sub>
                  <m:r>
                    <m:t>0</m:t>
                  </m:r>
                </m:sub>
              </m:sSub>
            </m:num>
            <m:den>
              <m:r>
                <m:t>r</m:t>
              </m:r>
            </m:den>
          </m:f>
          <m:f>
            <m:fPr>
              <m:type m:val="bar"/>
            </m:fPr>
            <m:num>
              <m:r>
                <m:rPr>
                  <m:sty m:val="p"/>
                </m:rPr>
                <m:t>∂</m:t>
              </m:r>
              <m:sSub>
                <m:e>
                  <m:r>
                    <m:t>a</m:t>
                  </m:r>
                </m:e>
                <m:sub>
                  <m:r>
                    <m:t>l</m:t>
                  </m:r>
                </m:sub>
              </m:sSub>
            </m:num>
            <m:den>
              <m:r>
                <m:rPr>
                  <m:sty m:val="p"/>
                </m:rPr>
                <m:t>∂</m:t>
              </m:r>
              <m:r>
                <m:t>r</m:t>
              </m:r>
            </m:den>
          </m:f>
          <m:r>
            <m:rPr>
              <m:sty m:val="p"/>
            </m:rPr>
            <m:t>+</m:t>
          </m:r>
          <m:sSub>
            <m:e>
              <m:r>
                <m:t>R</m:t>
              </m:r>
            </m:e>
            <m:sub>
              <m:r>
                <m:t>d</m:t>
              </m:r>
              <m:r>
                <m:t>e</m:t>
              </m:r>
              <m:r>
                <m:t>s</m:t>
              </m:r>
              <m:r>
                <m:t>o</m:t>
              </m:r>
              <m:r>
                <m:t>r</m:t>
              </m:r>
              <m:r>
                <m:t>p</m:t>
              </m:r>
              <m:r>
                <m:t>t</m:t>
              </m:r>
              <m:r>
                <m:t>i</m:t>
              </m:r>
              <m:r>
                <m:t>o</m:t>
              </m:r>
              <m:r>
                <m:t>n</m:t>
              </m:r>
            </m:sub>
          </m:sSub>
        </m:oMath>
      </m:oMathPara>
    </w:p>
    <w:p>
      <w:pPr>
        <w:pStyle w:val="FirstParagraph"/>
      </w:pPr>
      <w:r>
        <w:t xml:space="preserve">Where</w:t>
      </w:r>
      <w:r>
        <w:t xml:space="preserve"> </w:t>
      </w:r>
      <m:oMath>
        <m:sSub>
          <m:e>
            <m:r>
              <m:t>D</m:t>
            </m:r>
          </m:e>
          <m:sub>
            <m:r>
              <m:t>e</m:t>
            </m:r>
          </m:sub>
        </m:sSub>
      </m:oMath>
      <w:r>
        <w:t xml:space="preserve"> </w:t>
      </w:r>
      <w:r>
        <w:t xml:space="preserve">is the effective diffusion coefficient,</w:t>
      </w:r>
      <w:r>
        <w:t xml:space="preserve"> </w:t>
      </w:r>
      <m:oMath>
        <m:r>
          <m:t>r</m:t>
        </m:r>
      </m:oMath>
      <w:r>
        <w:t xml:space="preserve"> </w:t>
      </w:r>
      <w:r>
        <w:t xml:space="preserve">is the radial distance,</w:t>
      </w:r>
      <w:r>
        <w:t xml:space="preserve"> </w:t>
      </w:r>
      <m:oMath>
        <m:sSub>
          <m:e>
            <m:r>
              <m:t>r</m:t>
            </m:r>
          </m:e>
          <m:sub>
            <m:r>
              <m:t>0</m:t>
            </m:r>
          </m:sub>
        </m:sSub>
      </m:oMath>
      <w:r>
        <w:t xml:space="preserve"> </w:t>
      </w:r>
      <w:r>
        <w:t xml:space="preserve">is the root radius, and</w:t>
      </w:r>
      <w:r>
        <w:t xml:space="preserve"> </w:t>
      </w:r>
      <m:oMath>
        <m:sSub>
          <m:e>
            <m:r>
              <m:t>v</m:t>
            </m:r>
          </m:e>
          <m:sub>
            <m:r>
              <m:t>0</m:t>
            </m:r>
          </m:sub>
        </m:sSub>
      </m:oMath>
      <w:r>
        <w:t xml:space="preserve"> </w:t>
      </w:r>
      <w:r>
        <w:t xml:space="preserve">is the water flux at the root surface. The kinetic source term resupplying the solution was defined using the experimentally derived parameters:</w:t>
      </w:r>
    </w:p>
    <w:p>
      <w:pPr>
        <w:pStyle w:val="BodyText"/>
      </w:pPr>
      <m:oMathPara>
        <m:oMathParaPr>
          <m:jc m:val="center"/>
        </m:oMathParaPr>
        <m:oMath>
          <m:sSub>
            <m:e>
              <m:r>
                <m:t>R</m:t>
              </m:r>
            </m:e>
            <m:sub>
              <m:r>
                <m:t>d</m:t>
              </m:r>
              <m:r>
                <m:t>e</m:t>
              </m:r>
              <m:r>
                <m:t>s</m:t>
              </m:r>
              <m:r>
                <m:t>o</m:t>
              </m:r>
              <m:r>
                <m:t>r</m:t>
              </m:r>
              <m:r>
                <m:t>p</m:t>
              </m:r>
              <m:r>
                <m:t>t</m:t>
              </m:r>
              <m:r>
                <m:t>i</m:t>
              </m:r>
              <m:r>
                <m:t>o</m:t>
              </m:r>
              <m:r>
                <m:t>n</m:t>
              </m:r>
            </m:sub>
          </m:sSub>
          <m:r>
            <m:rPr>
              <m:sty m:val="p"/>
            </m:rPr>
            <m:t>=</m:t>
          </m:r>
          <m:r>
            <m:t>k</m:t>
          </m:r>
          <m:r>
            <m:rPr>
              <m:sty m:val="p"/>
            </m:rPr>
            <m:t>⋅</m:t>
          </m:r>
          <m:r>
            <m:rPr>
              <m:sty m:val="p"/>
            </m:rPr>
            <m:t>(</m:t>
          </m:r>
          <m:sSub>
            <m:e>
              <m:r>
                <m:t>a</m:t>
              </m:r>
            </m:e>
            <m:sub>
              <m:r>
                <m:t>m</m:t>
              </m:r>
              <m:r>
                <m:t>a</m:t>
              </m:r>
              <m:r>
                <m:t>x</m:t>
              </m:r>
            </m:sub>
          </m:sSub>
          <m:r>
            <m:rPr>
              <m:sty m:val="p"/>
            </m:rPr>
            <m:t>−</m:t>
          </m:r>
          <m:sSub>
            <m:e>
              <m:r>
                <m:t>a</m:t>
              </m:r>
            </m:e>
            <m:sub>
              <m:r>
                <m:t>l</m:t>
              </m:r>
            </m:sub>
          </m:sSub>
          <m:r>
            <m:rPr>
              <m:sty m:val="p"/>
            </m:rPr>
            <m:t>)</m:t>
          </m:r>
        </m:oMath>
      </m:oMathPara>
    </w:p>
    <w:p>
      <w:pPr>
        <w:pStyle w:val="FirstParagraph"/>
      </w:pPr>
      <w:r>
        <w:t xml:space="preserve">Furthermore, the inner boundary condition at the root surface (</w:t>
      </w:r>
      <m:oMath>
        <m:r>
          <m:t>r</m:t>
        </m:r>
        <m:r>
          <m:rPr>
            <m:sty m:val="p"/>
          </m:rPr>
          <m:t>=</m:t>
        </m:r>
        <m:sSub>
          <m:e>
            <m:r>
              <m:t>r</m:t>
            </m:r>
          </m:e>
          <m:sub>
            <m:r>
              <m:t>0</m:t>
            </m:r>
          </m:sub>
        </m:sSub>
      </m:oMath>
      <w:r>
        <w:t xml:space="preserve">) was upgraded to reflect a dual-affinity Michaelis-Menten uptake system, accounting for both high-affinity (PHT1) and low-affinity (LATS) transporter kinetics responding directly to chemical activity:</w:t>
      </w:r>
    </w:p>
    <w:p>
      <w:pPr>
        <w:pStyle w:val="BodyText"/>
      </w:pPr>
      <m:oMathPara>
        <m:oMathParaPr>
          <m:jc m:val="center"/>
        </m:oMathParaPr>
        <m:oMath>
          <m:sSub>
            <m:e>
              <m:r>
                <m:t>J</m:t>
              </m:r>
            </m:e>
            <m:sub>
              <m:r>
                <m:t>r</m:t>
              </m:r>
            </m:sub>
          </m:sSub>
          <m:r>
            <m:rPr>
              <m:sty m:val="p"/>
            </m:rPr>
            <m:t>=</m:t>
          </m:r>
          <m:f>
            <m:fPr>
              <m:type m:val="bar"/>
            </m:fPr>
            <m:num>
              <m:sSub>
                <m:e>
                  <m:r>
                    <m:t>V</m:t>
                  </m:r>
                </m:e>
                <m:sub>
                  <m:r>
                    <m:t>m</m:t>
                  </m:r>
                  <m:r>
                    <m:t>a</m:t>
                  </m:r>
                  <m:r>
                    <m:t>x</m:t>
                  </m:r>
                  <m:r>
                    <m:t>1</m:t>
                  </m:r>
                </m:sub>
              </m:sSub>
              <m:r>
                <m:rPr>
                  <m:sty m:val="p"/>
                </m:rPr>
                <m:t>⋅</m:t>
              </m:r>
              <m:r>
                <m:rPr>
                  <m:sty m:val="p"/>
                </m:rPr>
                <m:t>(</m:t>
              </m:r>
              <m:sSub>
                <m:e>
                  <m:r>
                    <m:t>a</m:t>
                  </m:r>
                </m:e>
                <m:sub>
                  <m:r>
                    <m:t>l</m:t>
                  </m:r>
                </m:sub>
              </m:sSub>
              <m:r>
                <m:rPr>
                  <m:sty m:val="p"/>
                </m:rPr>
                <m:t>−</m:t>
              </m:r>
              <m:sSub>
                <m:e>
                  <m:r>
                    <m:t>a</m:t>
                  </m:r>
                </m:e>
                <m:sub>
                  <m:r>
                    <m:t>m</m:t>
                  </m:r>
                  <m:r>
                    <m:t>i</m:t>
                  </m:r>
                  <m:r>
                    <m:t>n</m:t>
                  </m:r>
                </m:sub>
              </m:sSub>
              <m:r>
                <m:rPr>
                  <m:sty m:val="p"/>
                </m:rPr>
                <m:t>)</m:t>
              </m:r>
            </m:num>
            <m:den>
              <m:sSub>
                <m:e>
                  <m:r>
                    <m:t>K</m:t>
                  </m:r>
                </m:e>
                <m:sub>
                  <m:r>
                    <m:t>m</m:t>
                  </m:r>
                  <m:r>
                    <m:t>1</m:t>
                  </m:r>
                </m:sub>
              </m:sSub>
              <m:r>
                <m:rPr>
                  <m:sty m:val="p"/>
                </m:rPr>
                <m:t>+</m:t>
              </m:r>
              <m:r>
                <m:rPr>
                  <m:sty m:val="p"/>
                </m:rPr>
                <m:t>(</m:t>
              </m:r>
              <m:sSub>
                <m:e>
                  <m:r>
                    <m:t>a</m:t>
                  </m:r>
                </m:e>
                <m:sub>
                  <m:r>
                    <m:t>l</m:t>
                  </m:r>
                </m:sub>
              </m:sSub>
              <m:r>
                <m:rPr>
                  <m:sty m:val="p"/>
                </m:rPr>
                <m:t>−</m:t>
              </m:r>
              <m:sSub>
                <m:e>
                  <m:r>
                    <m:t>a</m:t>
                  </m:r>
                </m:e>
                <m:sub>
                  <m:r>
                    <m:t>m</m:t>
                  </m:r>
                  <m:r>
                    <m:t>i</m:t>
                  </m:r>
                  <m:r>
                    <m:t>n</m:t>
                  </m:r>
                </m:sub>
              </m:sSub>
              <m:r>
                <m:rPr>
                  <m:sty m:val="p"/>
                </m:rPr>
                <m:t>)</m:t>
              </m:r>
            </m:den>
          </m:f>
          <m:r>
            <m:rPr>
              <m:sty m:val="p"/>
            </m:rPr>
            <m:t>+</m:t>
          </m:r>
          <m:f>
            <m:fPr>
              <m:type m:val="bar"/>
            </m:fPr>
            <m:num>
              <m:sSub>
                <m:e>
                  <m:r>
                    <m:t>V</m:t>
                  </m:r>
                </m:e>
                <m:sub>
                  <m:r>
                    <m:t>m</m:t>
                  </m:r>
                  <m:r>
                    <m:t>a</m:t>
                  </m:r>
                  <m:r>
                    <m:t>x</m:t>
                  </m:r>
                  <m:r>
                    <m:t>2</m:t>
                  </m:r>
                </m:sub>
              </m:sSub>
              <m:r>
                <m:rPr>
                  <m:sty m:val="p"/>
                </m:rPr>
                <m:t>⋅</m:t>
              </m:r>
              <m:r>
                <m:rPr>
                  <m:sty m:val="p"/>
                </m:rPr>
                <m:t>(</m:t>
              </m:r>
              <m:sSub>
                <m:e>
                  <m:r>
                    <m:t>a</m:t>
                  </m:r>
                </m:e>
                <m:sub>
                  <m:r>
                    <m:t>l</m:t>
                  </m:r>
                </m:sub>
              </m:sSub>
              <m:r>
                <m:rPr>
                  <m:sty m:val="p"/>
                </m:rPr>
                <m:t>−</m:t>
              </m:r>
              <m:sSub>
                <m:e>
                  <m:r>
                    <m:t>a</m:t>
                  </m:r>
                </m:e>
                <m:sub>
                  <m:r>
                    <m:t>m</m:t>
                  </m:r>
                  <m:r>
                    <m:t>i</m:t>
                  </m:r>
                  <m:r>
                    <m:t>n</m:t>
                  </m:r>
                </m:sub>
              </m:sSub>
              <m:r>
                <m:rPr>
                  <m:sty m:val="p"/>
                </m:rPr>
                <m:t>)</m:t>
              </m:r>
            </m:num>
            <m:den>
              <m:sSub>
                <m:e>
                  <m:r>
                    <m:t>K</m:t>
                  </m:r>
                </m:e>
                <m:sub>
                  <m:r>
                    <m:t>m</m:t>
                  </m:r>
                  <m:r>
                    <m:t>2</m:t>
                  </m:r>
                </m:sub>
              </m:sSub>
              <m:r>
                <m:rPr>
                  <m:sty m:val="p"/>
                </m:rPr>
                <m:t>+</m:t>
              </m:r>
              <m:r>
                <m:rPr>
                  <m:sty m:val="p"/>
                </m:rPr>
                <m:t>(</m:t>
              </m:r>
              <m:sSub>
                <m:e>
                  <m:r>
                    <m:t>a</m:t>
                  </m:r>
                </m:e>
                <m:sub>
                  <m:r>
                    <m:t>l</m:t>
                  </m:r>
                </m:sub>
              </m:sSub>
              <m:r>
                <m:rPr>
                  <m:sty m:val="p"/>
                </m:rPr>
                <m:t>−</m:t>
              </m:r>
              <m:sSub>
                <m:e>
                  <m:r>
                    <m:t>a</m:t>
                  </m:r>
                </m:e>
                <m:sub>
                  <m:r>
                    <m:t>m</m:t>
                  </m:r>
                  <m:r>
                    <m:t>i</m:t>
                  </m:r>
                  <m:r>
                    <m:t>n</m:t>
                  </m:r>
                </m:sub>
              </m:sSub>
              <m:r>
                <m:rPr>
                  <m:sty m:val="p"/>
                </m:rPr>
                <m:t>)</m:t>
              </m:r>
            </m:den>
          </m:f>
        </m:oMath>
      </m:oMathPara>
    </w:p>
    <w:p>
      <w:pPr>
        <w:pStyle w:val="FirstParagraph"/>
      </w:pPr>
      <w:r>
        <w:t xml:space="preserve">The modified PDEs were solved numerically in R utilizing the</w:t>
      </w:r>
      <w:r>
        <w:t xml:space="preserve"> </w:t>
      </w:r>
      <w:r>
        <w:rPr>
          <w:rStyle w:val="VerbatimChar"/>
        </w:rPr>
        <w:t xml:space="preserve">ReacTran</w:t>
      </w:r>
      <w:r>
        <w:t xml:space="preserve"> </w:t>
      </w:r>
      <w:r>
        <w:t xml:space="preserve">and</w:t>
      </w:r>
      <w:r>
        <w:t xml:space="preserve"> </w:t>
      </w:r>
      <w:r>
        <w:rPr>
          <w:rStyle w:val="VerbatimChar"/>
        </w:rPr>
        <w:t xml:space="preserve">deSolve</w:t>
      </w:r>
      <w:r>
        <w:t xml:space="preserve"> </w:t>
      </w:r>
      <w:r>
        <w:t xml:space="preserve">packages to generate dynamic spatial profiles of the P-depletion zone over time.</w:t>
      </w:r>
    </w:p>
    <w:p>
      <w:r>
        <w:br w:type="page"/>
      </w:r>
    </w:p>
    <w:p>
      <w:r>
        <w:br w:type="page"/>
      </w:r>
    </w:p>
    <w:p>
      <w:r>
        <w:br w:type="page"/>
      </w:r>
    </w:p>
    <w:p>
      <w:r>
        <w:br w:type="page"/>
      </w:r>
    </w:p>
    <w:p>
      <w:r>
        <w:br w:type="page"/>
      </w:r>
    </w:p>
    <w:bookmarkEnd w:id="29"/>
    <w:bookmarkEnd w:id="30"/>
    <w:bookmarkEnd w:id="31"/>
    <w:bookmarkStart w:id="49" w:name="references"/>
    <w:p>
      <w:pPr>
        <w:pStyle w:val="Heading1"/>
      </w:pPr>
      <w:r>
        <w:t xml:space="preserve">3. References</w:t>
      </w:r>
    </w:p>
    <w:bookmarkStart w:id="48" w:name="refs"/>
    <w:bookmarkStart w:id="33" w:name="ref-R-lme4"/>
    <w:p>
      <w:pPr>
        <w:pStyle w:val="Bibliography"/>
      </w:pPr>
      <w:r>
        <w:t xml:space="preserve">Bates, D., Mächler, M., Bolker, B., &amp; Walker, S. (2015). Fitting linear mixed-effects models using</w:t>
      </w:r>
      <w:r>
        <w:t xml:space="preserve"> </w:t>
      </w:r>
      <w:r>
        <w:t xml:space="preserve">lme4</w:t>
      </w:r>
      <w:r>
        <w:t xml:space="preserve">.</w:t>
      </w:r>
      <w:r>
        <w:t xml:space="preserve"> </w:t>
      </w:r>
      <w:r>
        <w:rPr>
          <w:i/>
          <w:iCs/>
        </w:rPr>
        <w:t xml:space="preserve">Journal of Statistical Software</w:t>
      </w:r>
      <w:r>
        <w:t xml:space="preserve">,</w:t>
      </w:r>
      <w:r>
        <w:t xml:space="preserve"> </w:t>
      </w:r>
      <w:r>
        <w:rPr>
          <w:i/>
          <w:iCs/>
        </w:rPr>
        <w:t xml:space="preserve">67</w:t>
      </w:r>
      <w:r>
        <w:t xml:space="preserve">(1), 1–48.</w:t>
      </w:r>
      <w:r>
        <w:t xml:space="preserve"> </w:t>
      </w:r>
      <w:hyperlink r:id="rId32">
        <w:r>
          <w:rPr>
            <w:rStyle w:val="Hyperlink"/>
          </w:rPr>
          <w:t xml:space="preserve">https://doi.org/10.18637/jss.v067.i01</w:t>
        </w:r>
      </w:hyperlink>
    </w:p>
    <w:bookmarkEnd w:id="33"/>
    <w:bookmarkStart w:id="34" w:name="ref-Brady2016Soils"/>
    <w:p>
      <w:pPr>
        <w:pStyle w:val="Bibliography"/>
      </w:pPr>
      <w:r>
        <w:t xml:space="preserve">Brady, N. C., &amp; Weil, R. R. (2016).</w:t>
      </w:r>
      <w:r>
        <w:t xml:space="preserve"> </w:t>
      </w:r>
      <w:r>
        <w:rPr>
          <w:i/>
          <w:iCs/>
        </w:rPr>
        <w:t xml:space="preserve">The nature and properties of soils</w:t>
      </w:r>
      <w:r>
        <w:t xml:space="preserve"> </w:t>
      </w:r>
      <w:r>
        <w:t xml:space="preserve">(15th ed.). Pearson.</w:t>
      </w:r>
    </w:p>
    <w:bookmarkEnd w:id="34"/>
    <w:bookmarkStart w:id="35" w:name="X8e448a35b024827f6325a509cd0871d88df6696"/>
    <w:p>
      <w:pPr>
        <w:pStyle w:val="Bibliography"/>
      </w:pPr>
      <w:r>
        <w:t xml:space="preserve">Flossmann, R., &amp; Richter, D. (1982).</w:t>
      </w:r>
      <w:r>
        <w:t xml:space="preserve"> </w:t>
      </w:r>
      <w:r>
        <w:rPr>
          <w:i/>
          <w:iCs/>
        </w:rPr>
        <w:t xml:space="preserve">Extraction method for characterizing the kinetics of phosphorus release from solid soil to soil solution.</w:t>
      </w:r>
    </w:p>
    <w:bookmarkEnd w:id="35"/>
    <w:bookmarkStart w:id="36" w:name="ref-FAL1996Methodenbuch"/>
    <w:p>
      <w:pPr>
        <w:pStyle w:val="Bibliography"/>
      </w:pPr>
      <w:r>
        <w:t xml:space="preserve">Forschungsanstalt für Agrarökologie und Landbau (FAL). (1996).</w:t>
      </w:r>
      <w:r>
        <w:t xml:space="preserve"> </w:t>
      </w:r>
      <w:r>
        <w:rPr>
          <w:i/>
          <w:iCs/>
        </w:rPr>
        <w:t xml:space="preserve">Methodenbuch für boden-, pflanzen- und nährstoffanalysen</w:t>
      </w:r>
      <w:r>
        <w:t xml:space="preserve">. FAL.</w:t>
      </w:r>
    </w:p>
    <w:bookmarkEnd w:id="36"/>
    <w:bookmarkStart w:id="38" w:name="ref-Frossard2000Processes"/>
    <w:p>
      <w:pPr>
        <w:pStyle w:val="Bibliography"/>
      </w:pPr>
      <w:r>
        <w:t xml:space="preserve">Frossard, E., Condron, L. M., Oberson, A., Sinaj, S., &amp; Fardeau, J. C. (2000). Processes governing phosphorus availability in temperate soils.</w:t>
      </w:r>
      <w:r>
        <w:t xml:space="preserve"> </w:t>
      </w:r>
      <w:r>
        <w:rPr>
          <w:i/>
          <w:iCs/>
        </w:rPr>
        <w:t xml:space="preserve">Journal of Environmental Quality</w:t>
      </w:r>
      <w:r>
        <w:t xml:space="preserve">,</w:t>
      </w:r>
      <w:r>
        <w:t xml:space="preserve"> </w:t>
      </w:r>
      <w:r>
        <w:rPr>
          <w:i/>
          <w:iCs/>
        </w:rPr>
        <w:t xml:space="preserve">29</w:t>
      </w:r>
      <w:r>
        <w:t xml:space="preserve">(1), 15–23.</w:t>
      </w:r>
      <w:r>
        <w:t xml:space="preserve"> </w:t>
      </w:r>
      <w:hyperlink r:id="rId37">
        <w:r>
          <w:rPr>
            <w:rStyle w:val="Hyperlink"/>
          </w:rPr>
          <w:t xml:space="preserve">https://doi.org/10.2134/jeq2000.00472425002900010003x</w:t>
        </w:r>
      </w:hyperlink>
    </w:p>
    <w:bookmarkEnd w:id="38"/>
    <w:bookmarkStart w:id="40" w:name="ref-hirteYieldResponseSoil2021"/>
    <w:p>
      <w:pPr>
        <w:pStyle w:val="Bibliography"/>
      </w:pPr>
      <w:r>
        <w:t xml:space="preserve">Hirte, J., Richner, W., Orth, B., Liebisch, F., &amp; Flisch, R. (2021). Yield response to soil test phosphorus in</w:t>
      </w:r>
      <w:r>
        <w:t xml:space="preserve"> </w:t>
      </w:r>
      <w:r>
        <w:t xml:space="preserve">Switzerland</w:t>
      </w:r>
      <w:r>
        <w:t xml:space="preserve">:</w:t>
      </w:r>
      <w:r>
        <w:t xml:space="preserve"> </w:t>
      </w:r>
      <w:r>
        <w:t xml:space="preserve">Pedoclimatic</w:t>
      </w:r>
      <w:r>
        <w:t xml:space="preserve"> </w:t>
      </w:r>
      <w:r>
        <w:t xml:space="preserve">drivers of critical concentrations for optimal crop yields using multilevel modelling.</w:t>
      </w:r>
      <w:r>
        <w:t xml:space="preserve"> </w:t>
      </w:r>
      <w:r>
        <w:rPr>
          <w:i/>
          <w:iCs/>
        </w:rPr>
        <w:t xml:space="preserve">Science of The Total Environment</w:t>
      </w:r>
      <w:r>
        <w:t xml:space="preserve">,</w:t>
      </w:r>
      <w:r>
        <w:t xml:space="preserve"> </w:t>
      </w:r>
      <w:r>
        <w:rPr>
          <w:i/>
          <w:iCs/>
        </w:rPr>
        <w:t xml:space="preserve">755</w:t>
      </w:r>
      <w:r>
        <w:t xml:space="preserve">, 143453.</w:t>
      </w:r>
      <w:r>
        <w:t xml:space="preserve"> </w:t>
      </w:r>
      <w:hyperlink r:id="rId39">
        <w:r>
          <w:rPr>
            <w:rStyle w:val="Hyperlink"/>
          </w:rPr>
          <w:t xml:space="preserve">https://doi.org/10.1016/j.scitotenv.2020.143453</w:t>
        </w:r>
      </w:hyperlink>
    </w:p>
    <w:bookmarkEnd w:id="40"/>
    <w:bookmarkStart w:id="41" w:name="ref-Nye2000Solute"/>
    <w:p>
      <w:pPr>
        <w:pStyle w:val="Bibliography"/>
      </w:pPr>
      <w:r>
        <w:t xml:space="preserve">Nye, P. H., &amp; Tinker, P. B. (2000).</w:t>
      </w:r>
      <w:r>
        <w:t xml:space="preserve"> </w:t>
      </w:r>
      <w:r>
        <w:rPr>
          <w:i/>
          <w:iCs/>
        </w:rPr>
        <w:t xml:space="preserve">Solute movement in the rhizosphere</w:t>
      </w:r>
      <w:r>
        <w:t xml:space="preserve">. Oxford University Press.</w:t>
      </w:r>
    </w:p>
    <w:bookmarkEnd w:id="41"/>
    <w:bookmarkStart w:id="43" w:name="ref-R-nlme"/>
    <w:p>
      <w:pPr>
        <w:pStyle w:val="Bibliography"/>
      </w:pPr>
      <w:r>
        <w:t xml:space="preserve">Pinheiro, J., Bates, D., DebRoy, S., Sarkar, D., &amp; R Core Team. (2022).</w:t>
      </w:r>
      <w:r>
        <w:t xml:space="preserve"> </w:t>
      </w:r>
      <w:r>
        <w:rPr>
          <w:i/>
          <w:iCs/>
        </w:rPr>
        <w:t xml:space="preserve">Nlme: Linear and nonlinear mixed effects models</w:t>
      </w:r>
      <w:r>
        <w:t xml:space="preserve">.</w:t>
      </w:r>
      <w:r>
        <w:t xml:space="preserve"> </w:t>
      </w:r>
      <w:hyperlink r:id="rId42">
        <w:r>
          <w:rPr>
            <w:rStyle w:val="Hyperlink"/>
          </w:rPr>
          <w:t xml:space="preserve">https://CRAN.R-project.org/package=nlme</w:t>
        </w:r>
      </w:hyperlink>
    </w:p>
    <w:bookmarkEnd w:id="43"/>
    <w:bookmarkStart w:id="45" w:name="ref-R-base"/>
    <w:p>
      <w:pPr>
        <w:pStyle w:val="Bibliography"/>
      </w:pPr>
      <w:r>
        <w:t xml:space="preserve">R Core Team. (2022).</w:t>
      </w:r>
      <w:r>
        <w:t xml:space="preserve"> </w:t>
      </w:r>
      <w:r>
        <w:rPr>
          <w:i/>
          <w:iCs/>
        </w:rPr>
        <w:t xml:space="preserve">R: A language and environment for statistical computing</w:t>
      </w:r>
      <w:r>
        <w:t xml:space="preserve">. R Foundation for Statistical Computing.</w:t>
      </w:r>
      <w:r>
        <w:t xml:space="preserve"> </w:t>
      </w:r>
      <w:hyperlink r:id="rId44">
        <w:r>
          <w:rPr>
            <w:rStyle w:val="Hyperlink"/>
          </w:rPr>
          <w:t xml:space="preserve">https://www.R-project.org/</w:t>
        </w:r>
      </w:hyperlink>
    </w:p>
    <w:bookmarkEnd w:id="45"/>
    <w:bookmarkStart w:id="46" w:name="ref-Sposito2008Chemistry"/>
    <w:p>
      <w:pPr>
        <w:pStyle w:val="Bibliography"/>
      </w:pPr>
      <w:r>
        <w:t xml:space="preserve">Sposito, G. (2008).</w:t>
      </w:r>
      <w:r>
        <w:t xml:space="preserve"> </w:t>
      </w:r>
      <w:r>
        <w:rPr>
          <w:i/>
          <w:iCs/>
        </w:rPr>
        <w:t xml:space="preserve">The chemistry of soils</w:t>
      </w:r>
      <w:r>
        <w:t xml:space="preserve"> </w:t>
      </w:r>
      <w:r>
        <w:t xml:space="preserve">(2nd ed.). Oxford University Press.</w:t>
      </w:r>
    </w:p>
    <w:bookmarkEnd w:id="46"/>
    <w:bookmarkStart w:id="47" w:name="ref-VanVeldhoven1987Malachite"/>
    <w:p>
      <w:pPr>
        <w:pStyle w:val="Bibliography"/>
      </w:pPr>
      <w:r>
        <w:t xml:space="preserve">Van Veldhoven, P. P., &amp; Mannaerts, G. P. (1987). Inorganic and organic phosphorus in the scheldt estuary.</w:t>
      </w:r>
      <w:r>
        <w:t xml:space="preserve"> </w:t>
      </w:r>
      <w:r>
        <w:rPr>
          <w:i/>
          <w:iCs/>
        </w:rPr>
        <w:t xml:space="preserve">Estuarine, Coastal and Shelf Science</w:t>
      </w:r>
      <w:r>
        <w:t xml:space="preserve">,</w:t>
      </w:r>
      <w:r>
        <w:t xml:space="preserve"> </w:t>
      </w:r>
      <w:r>
        <w:rPr>
          <w:i/>
          <w:iCs/>
        </w:rPr>
        <w:t xml:space="preserve">25</w:t>
      </w:r>
      <w:r>
        <w:t xml:space="preserve">(6), 755–765.</w:t>
      </w:r>
    </w:p>
    <w:bookmarkEnd w:id="47"/>
    <w:bookmarkEnd w:id="48"/>
    <w:p>
      <w:r>
        <w:br w:type="page"/>
      </w:r>
    </w:p>
    <w:p>
      <w:r>
        <w:br w:type="page"/>
      </w:r>
    </w:p>
    <w:bookmarkEnd w:id="49"/>
    <w:bookmarkStart w:id="55" w:name="Xc02b1095fe035d2f218bf14431ef63629f299b5"/>
    <w:p>
      <w:pPr>
        <w:pStyle w:val="Heading1"/>
      </w:pPr>
      <w:r>
        <w:t xml:space="preserve">4. Appendix: Thermodynamic Correction of</w:t>
      </w:r>
      <w:r>
        <w:t xml:space="preserve"> </w:t>
      </w:r>
      <m:oMath>
        <m:sSub>
          <m:e>
            <m:r>
              <m:t>P</m:t>
            </m:r>
          </m:e>
          <m:sub>
            <m:r>
              <m:t>C</m:t>
            </m:r>
            <m:sSub>
              <m:e>
                <m:r>
                  <m:t>O</m:t>
                </m:r>
              </m:e>
              <m:sub>
                <m:r>
                  <m:t>2</m:t>
                </m:r>
              </m:sub>
            </m:sSub>
          </m:sub>
        </m:sSub>
      </m:oMath>
      <w:r>
        <w:t xml:space="preserve"> </w:t>
      </w:r>
      <w:r>
        <w:t xml:space="preserve">Extractions</w:t>
      </w:r>
    </w:p>
    <w:bookmarkStart w:id="50" w:name="Xdd52081602f5faa9508128f35f776531d43bf68"/>
    <w:p>
      <w:pPr>
        <w:pStyle w:val="Heading2"/>
      </w:pPr>
      <w:r>
        <w:t xml:space="preserve">4.1 A.1. Intrinsic Ionic Strength of the</w:t>
      </w:r>
      <w:r>
        <w:t xml:space="preserve"> </w:t>
      </w:r>
      <m:oMath>
        <m:sSub>
          <m:e>
            <m:r>
              <m:t>P</m:t>
            </m:r>
          </m:e>
          <m:sub>
            <m:r>
              <m:t>C</m:t>
            </m:r>
            <m:sSub>
              <m:e>
                <m:r>
                  <m:t>O</m:t>
                </m:r>
              </m:e>
              <m:sub>
                <m:r>
                  <m:t>2</m:t>
                </m:r>
              </m:sub>
            </m:sSub>
          </m:sub>
        </m:sSub>
      </m:oMath>
      <w:r>
        <w:t xml:space="preserve"> </w:t>
      </w:r>
      <w:r>
        <w:t xml:space="preserve">Extractant</w:t>
      </w:r>
    </w:p>
    <w:p>
      <w:pPr>
        <w:pStyle w:val="FirstParagraph"/>
      </w:pPr>
      <w:r>
        <w:t xml:space="preserve">Standard static soil test methods rely on the operational extraction of phosphorus. Strong extractants (e.g., Olsen P, P-AAE10) possess inherently high ionic strengths that dominate the soil matrix, rendering absolute thermodynamic comparisons invalid without complex modeling. In contrast, the</w:t>
      </w:r>
      <w:r>
        <w:t xml:space="preserve"> </w:t>
      </w:r>
      <m:oMath>
        <m:sSub>
          <m:e>
            <m:r>
              <m:t>P</m:t>
            </m:r>
          </m:e>
          <m:sub>
            <m:r>
              <m:t>C</m:t>
            </m:r>
            <m:sSub>
              <m:e>
                <m:r>
                  <m:t>O</m:t>
                </m:r>
              </m:e>
              <m:sub>
                <m:r>
                  <m:t>2</m:t>
                </m:r>
              </m:sub>
            </m:sSub>
          </m:sub>
        </m:sSub>
      </m:oMath>
      <w:r>
        <w:t xml:space="preserve"> </w:t>
      </w:r>
      <w:r>
        <w:t xml:space="preserve">method utilizes a very weak extractant: water saturated with carbon dioxide at atmospheric pressure (1 atm) and 25 °C.</w:t>
      </w:r>
    </w:p>
    <w:p>
      <w:pPr>
        <w:pStyle w:val="BodyText"/>
      </w:pPr>
      <w:r>
        <w:t xml:space="preserve">To demonstrate that the</w:t>
      </w:r>
      <w:r>
        <w:t xml:space="preserve"> </w:t>
      </w:r>
      <m:oMath>
        <m:sSub>
          <m:e>
            <m:r>
              <m:t>P</m:t>
            </m:r>
          </m:e>
          <m:sub>
            <m:r>
              <m:t>C</m:t>
            </m:r>
            <m:sSub>
              <m:e>
                <m:r>
                  <m:t>O</m:t>
                </m:r>
              </m:e>
              <m:sub>
                <m:r>
                  <m:t>2</m:t>
                </m:r>
              </m:sub>
            </m:sSub>
          </m:sub>
        </m:sSub>
      </m:oMath>
      <w:r>
        <w:t xml:space="preserve"> </w:t>
      </w:r>
      <w:r>
        <w:t xml:space="preserve">extractant adopts the native ionic strength of the soil, we calculate the intrinsic ionic strength (</w:t>
      </w:r>
      <m:oMath>
        <m:r>
          <m:t>I</m:t>
        </m:r>
      </m:oMath>
      <w:r>
        <w:t xml:space="preserve">) of the pure extractant.</w:t>
      </w:r>
    </w:p>
    <w:p>
      <w:pPr>
        <w:pStyle w:val="BodyText"/>
      </w:pPr>
      <w:r>
        <w:t xml:space="preserve">According to Henry’s Law, the concentration of dissolved</w:t>
      </w:r>
      <w:r>
        <w:t xml:space="preserve"> </w:t>
      </w:r>
      <m:oMath>
        <m:r>
          <m:t>C</m:t>
        </m:r>
        <m:sSub>
          <m:e>
            <m:r>
              <m:t>O</m:t>
            </m:r>
          </m:e>
          <m:sub>
            <m:r>
              <m:t>2</m:t>
            </m:r>
          </m:sub>
        </m:sSub>
      </m:oMath>
      <w:r>
        <w:t xml:space="preserve"> </w:t>
      </w:r>
      <w:r>
        <w:t xml:space="preserve">(denoted as</w:t>
      </w:r>
      <w:r>
        <w:t xml:space="preserve"> </w:t>
      </w:r>
      <m:oMath>
        <m:sSub>
          <m:e>
            <m:r>
              <m:t>H</m:t>
            </m:r>
          </m:e>
          <m:sub>
            <m:r>
              <m:t>2</m:t>
            </m:r>
          </m:sub>
        </m:sSub>
        <m:r>
          <m:t>C</m:t>
        </m:r>
        <m:sSubSup>
          <m:e>
            <m:r>
              <m:t>O</m:t>
            </m:r>
          </m:e>
          <m:sub>
            <m:r>
              <m:t>3</m:t>
            </m:r>
          </m:sub>
          <m:sup>
            <m:r>
              <m:rPr>
                <m:sty m:val="p"/>
              </m:rPr>
              <m:t>*</m:t>
            </m:r>
          </m:sup>
        </m:sSubSup>
      </m:oMath>
      <w:r>
        <w:t xml:space="preserve">) is:</w:t>
      </w:r>
    </w:p>
    <w:p>
      <w:pPr>
        <w:pStyle w:val="BodyText"/>
      </w:pPr>
      <m:oMathPara>
        <m:oMathParaPr>
          <m:jc m:val="center"/>
        </m:oMathParaPr>
        <m:oMath>
          <m:r>
            <m:rPr>
              <m:sty m:val="p"/>
            </m:rPr>
            <m:t>[</m:t>
          </m:r>
          <m:sSub>
            <m:e>
              <m:r>
                <m:t>H</m:t>
              </m:r>
            </m:e>
            <m:sub>
              <m:r>
                <m:t>2</m:t>
              </m:r>
            </m:sub>
          </m:sSub>
          <m:r>
            <m:t>C</m:t>
          </m:r>
          <m:sSubSup>
            <m:e>
              <m:r>
                <m:t>O</m:t>
              </m:r>
            </m:e>
            <m:sub>
              <m:r>
                <m:t>3</m:t>
              </m:r>
            </m:sub>
            <m:sup>
              <m:r>
                <m:rPr>
                  <m:sty m:val="p"/>
                </m:rPr>
                <m:t>*</m:t>
              </m:r>
            </m:sup>
          </m:sSubSup>
          <m:r>
            <m:rPr>
              <m:sty m:val="p"/>
            </m:rPr>
            <m:t>]</m:t>
          </m:r>
          <m:r>
            <m:rPr>
              <m:sty m:val="p"/>
            </m:rPr>
            <m:t>=</m:t>
          </m:r>
          <m:sSub>
            <m:e>
              <m:r>
                <m:t>K</m:t>
              </m:r>
            </m:e>
            <m:sub>
              <m:r>
                <m:t>H</m:t>
              </m:r>
            </m:sub>
          </m:sSub>
          <m:r>
            <m:rPr>
              <m:sty m:val="p"/>
            </m:rPr>
            <m:t>×</m:t>
          </m:r>
          <m:sSub>
            <m:e>
              <m:r>
                <m:t>P</m:t>
              </m:r>
            </m:e>
            <m:sub>
              <m:r>
                <m:t>C</m:t>
              </m:r>
              <m:sSub>
                <m:e>
                  <m:r>
                    <m:t>O</m:t>
                  </m:r>
                </m:e>
                <m:sub>
                  <m:r>
                    <m:t>2</m:t>
                  </m:r>
                </m:sub>
              </m:sSub>
            </m:sub>
          </m:sSub>
        </m:oMath>
      </m:oMathPara>
    </w:p>
    <w:p>
      <w:pPr>
        <w:pStyle w:val="FirstParagraph"/>
      </w:pPr>
      <w:r>
        <w:t xml:space="preserve">Given Henry’s constant (</w:t>
      </w:r>
      <m:oMath>
        <m:sSub>
          <m:e>
            <m:r>
              <m:t>K</m:t>
            </m:r>
          </m:e>
          <m:sub>
            <m:r>
              <m:t>H</m:t>
            </m:r>
          </m:sub>
        </m:sSub>
        <m:r>
          <m:rPr>
            <m:sty m:val="p"/>
          </m:rPr>
          <m:t>≈</m:t>
        </m:r>
        <m:r>
          <m:t>0.034</m:t>
        </m:r>
        <m:sSup>
          <m:e>
            <m:r>
              <m:rPr>
                <m:nor/>
                <m:sty m:val="p"/>
              </m:rPr>
              <m:t> M atm</m:t>
            </m:r>
          </m:e>
          <m:sup>
            <m:r>
              <m:rPr>
                <m:sty m:val="p"/>
              </m:rPr>
              <m:t>−</m:t>
            </m:r>
            <m:r>
              <m:t>1</m:t>
            </m:r>
          </m:sup>
        </m:sSup>
      </m:oMath>
      <w:r>
        <w:t xml:space="preserve">) and</w:t>
      </w:r>
      <w:r>
        <w:t xml:space="preserve"> </w:t>
      </w:r>
      <m:oMath>
        <m:sSub>
          <m:e>
            <m:r>
              <m:t>P</m:t>
            </m:r>
          </m:e>
          <m:sub>
            <m:r>
              <m:t>C</m:t>
            </m:r>
            <m:sSub>
              <m:e>
                <m:r>
                  <m:t>O</m:t>
                </m:r>
              </m:e>
              <m:sub>
                <m:r>
                  <m:t>2</m:t>
                </m:r>
              </m:sub>
            </m:sSub>
          </m:sub>
        </m:sSub>
        <m:r>
          <m:rPr>
            <m:sty m:val="p"/>
          </m:rPr>
          <m:t>=</m:t>
        </m:r>
        <m:r>
          <m:t>1</m:t>
        </m:r>
        <m:r>
          <m:rPr>
            <m:nor/>
            <m:sty m:val="p"/>
          </m:rPr>
          <m:t> atm</m:t>
        </m:r>
      </m:oMath>
      <w:r>
        <w:t xml:space="preserve">, the molarity of dissolved</w:t>
      </w:r>
      <w:r>
        <w:t xml:space="preserve"> </w:t>
      </w:r>
      <m:oMath>
        <m:r>
          <m:t>C</m:t>
        </m:r>
        <m:sSub>
          <m:e>
            <m:r>
              <m:t>O</m:t>
            </m:r>
          </m:e>
          <m:sub>
            <m:r>
              <m:t>2</m:t>
            </m:r>
          </m:sub>
        </m:sSub>
      </m:oMath>
      <w:r>
        <w:t xml:space="preserve"> </w:t>
      </w:r>
      <w:r>
        <w:t xml:space="preserve">is approximately</w:t>
      </w:r>
      <w:r>
        <w:t xml:space="preserve"> </w:t>
      </w:r>
      <m:oMath>
        <m:r>
          <m:t>0.034</m:t>
        </m:r>
        <m:r>
          <m:rPr>
            <m:nor/>
            <m:sty m:val="p"/>
          </m:rPr>
          <m:t> M</m:t>
        </m:r>
      </m:oMath>
      <w:r>
        <w:t xml:space="preserve">.</w:t>
      </w:r>
    </w:p>
    <w:p>
      <w:pPr>
        <w:pStyle w:val="BodyText"/>
      </w:pPr>
      <w:r>
        <w:t xml:space="preserve">The primary ionic species generated arise from the first dissociation of carbonic acid:</w:t>
      </w:r>
    </w:p>
    <w:p>
      <w:pPr>
        <w:pStyle w:val="BodyText"/>
      </w:pPr>
      <m:oMathPara>
        <m:oMathParaPr>
          <m:jc m:val="center"/>
        </m:oMathParaPr>
        <m:oMath>
          <m:sSub>
            <m:e>
              <m:r>
                <m:t>H</m:t>
              </m:r>
            </m:e>
            <m:sub>
              <m:r>
                <m:t>2</m:t>
              </m:r>
            </m:sub>
          </m:sSub>
          <m:r>
            <m:t>C</m:t>
          </m:r>
          <m:sSubSup>
            <m:e>
              <m:r>
                <m:t>O</m:t>
              </m:r>
            </m:e>
            <m:sub>
              <m:r>
                <m:t>3</m:t>
              </m:r>
            </m:sub>
            <m:sup>
              <m:r>
                <m:rPr>
                  <m:sty m:val="p"/>
                </m:rPr>
                <m:t>*</m:t>
              </m:r>
            </m:sup>
          </m:sSubSup>
          <m:r>
            <m:rPr>
              <m:sty m:val="p"/>
            </m:rPr>
            <m:t>⇌</m:t>
          </m:r>
          <m:sSup>
            <m:e>
              <m:r>
                <m:t>H</m:t>
              </m:r>
            </m:e>
            <m:sup>
              <m:r>
                <m:rPr>
                  <m:sty m:val="p"/>
                </m:rPr>
                <m:t>+</m:t>
              </m:r>
            </m:sup>
          </m:sSup>
          <m:r>
            <m:rPr>
              <m:sty m:val="p"/>
            </m:rPr>
            <m:t>+</m:t>
          </m:r>
          <m:r>
            <m:t>H</m:t>
          </m:r>
          <m:r>
            <m:t>C</m:t>
          </m:r>
          <m:sSubSup>
            <m:e>
              <m:r>
                <m:t>O</m:t>
              </m:r>
            </m:e>
            <m:sub>
              <m:r>
                <m:t>3</m:t>
              </m:r>
            </m:sub>
            <m:sup>
              <m:r>
                <m:rPr>
                  <m:sty m:val="p"/>
                </m:rPr>
                <m:t>−</m:t>
              </m:r>
            </m:sup>
          </m:sSubSup>
        </m:oMath>
      </m:oMathPara>
    </w:p>
    <w:p>
      <w:pPr>
        <w:pStyle w:val="FirstParagraph"/>
      </w:pPr>
      <w:r>
        <w:t xml:space="preserve">Using the acid dissociation constant (</w:t>
      </w:r>
      <m:oMath>
        <m:sSub>
          <m:e>
            <m:r>
              <m:t>K</m:t>
            </m:r>
          </m:e>
          <m:sub>
            <m:r>
              <m:t>a</m:t>
            </m:r>
            <m:r>
              <m:t>1</m:t>
            </m:r>
          </m:sub>
        </m:sSub>
        <m:r>
          <m:rPr>
            <m:sty m:val="p"/>
          </m:rPr>
          <m:t>=</m:t>
        </m:r>
        <m:r>
          <m:t>4.46</m:t>
        </m:r>
        <m:r>
          <m:rPr>
            <m:sty m:val="p"/>
          </m:rPr>
          <m:t>×</m:t>
        </m:r>
        <m:sSup>
          <m:e>
            <m:r>
              <m:t>10</m:t>
            </m:r>
          </m:e>
          <m:sup>
            <m:r>
              <m:rPr>
                <m:sty m:val="p"/>
              </m:rPr>
              <m:t>−</m:t>
            </m:r>
            <m:r>
              <m:t>7</m:t>
            </m:r>
          </m:sup>
        </m:sSup>
      </m:oMath>
      <w:r>
        <w:t xml:space="preserve"> </w:t>
      </w:r>
      <w:r>
        <w:t xml:space="preserve">at 25 °C):</w:t>
      </w:r>
    </w:p>
    <w:p>
      <w:pPr>
        <w:pStyle w:val="BodyText"/>
      </w:pPr>
      <m:oMathPara>
        <m:oMathParaPr>
          <m:jc m:val="center"/>
        </m:oMathParaPr>
        <m:oMath>
          <m:sSub>
            <m:e>
              <m:r>
                <m:t>K</m:t>
              </m:r>
            </m:e>
            <m:sub>
              <m:r>
                <m:t>a</m:t>
              </m:r>
              <m:r>
                <m:t>1</m:t>
              </m:r>
            </m:sub>
          </m:sSub>
          <m:r>
            <m:rPr>
              <m:sty m:val="p"/>
            </m:rPr>
            <m:t>=</m:t>
          </m:r>
          <m:f>
            <m:fPr>
              <m:type m:val="bar"/>
            </m:fPr>
            <m:num>
              <m:r>
                <m:rPr>
                  <m:sty m:val="p"/>
                </m:rPr>
                <m:t>[</m:t>
              </m:r>
              <m:sSup>
                <m:e>
                  <m:r>
                    <m:t>H</m:t>
                  </m:r>
                </m:e>
                <m:sup>
                  <m:r>
                    <m:rPr>
                      <m:sty m:val="p"/>
                    </m:rPr>
                    <m:t>+</m:t>
                  </m:r>
                </m:sup>
              </m:sSup>
              <m:r>
                <m:rPr>
                  <m:sty m:val="p"/>
                </m:rPr>
                <m:t>]</m:t>
              </m:r>
              <m:r>
                <m:rPr>
                  <m:sty m:val="p"/>
                </m:rPr>
                <m:t>[</m:t>
              </m:r>
              <m:r>
                <m:t>H</m:t>
              </m:r>
              <m:r>
                <m:t>C</m:t>
              </m:r>
              <m:sSubSup>
                <m:e>
                  <m:r>
                    <m:t>O</m:t>
                  </m:r>
                </m:e>
                <m:sub>
                  <m:r>
                    <m:t>3</m:t>
                  </m:r>
                </m:sub>
                <m:sup>
                  <m:r>
                    <m:rPr>
                      <m:sty m:val="p"/>
                    </m:rPr>
                    <m:t>−</m:t>
                  </m:r>
                </m:sup>
              </m:sSubSup>
              <m:r>
                <m:rPr>
                  <m:sty m:val="p"/>
                </m:rPr>
                <m:t>]</m:t>
              </m:r>
            </m:num>
            <m:den>
              <m:r>
                <m:rPr>
                  <m:sty m:val="p"/>
                </m:rPr>
                <m:t>[</m:t>
              </m:r>
              <m:sSub>
                <m:e>
                  <m:r>
                    <m:t>H</m:t>
                  </m:r>
                </m:e>
                <m:sub>
                  <m:r>
                    <m:t>2</m:t>
                  </m:r>
                </m:sub>
              </m:sSub>
              <m:r>
                <m:t>C</m:t>
              </m:r>
              <m:sSubSup>
                <m:e>
                  <m:r>
                    <m:t>O</m:t>
                  </m:r>
                </m:e>
                <m:sub>
                  <m:r>
                    <m:t>3</m:t>
                  </m:r>
                </m:sub>
                <m:sup>
                  <m:r>
                    <m:rPr>
                      <m:sty m:val="p"/>
                    </m:rPr>
                    <m:t>*</m:t>
                  </m:r>
                </m:sup>
              </m:sSubSup>
              <m:r>
                <m:rPr>
                  <m:sty m:val="p"/>
                </m:rPr>
                <m:t>]</m:t>
              </m:r>
            </m:den>
          </m:f>
        </m:oMath>
      </m:oMathPara>
    </w:p>
    <w:p>
      <w:pPr>
        <w:pStyle w:val="FirstParagraph"/>
      </w:pPr>
      <w:r>
        <w:t xml:space="preserve">Because</w:t>
      </w:r>
      <w:r>
        <w:t xml:space="preserve"> </w:t>
      </w:r>
      <m:oMath>
        <m:r>
          <m:rPr>
            <m:sty m:val="p"/>
          </m:rPr>
          <m:t>[</m:t>
        </m:r>
        <m:sSup>
          <m:e>
            <m:r>
              <m:t>H</m:t>
            </m:r>
          </m:e>
          <m:sup>
            <m:r>
              <m:rPr>
                <m:sty m:val="p"/>
              </m:rPr>
              <m:t>+</m:t>
            </m:r>
          </m:sup>
        </m:sSup>
        <m:r>
          <m:rPr>
            <m:sty m:val="p"/>
          </m:rPr>
          <m:t>]</m:t>
        </m:r>
        <m:r>
          <m:rPr>
            <m:sty m:val="p"/>
          </m:rPr>
          <m:t>≈</m:t>
        </m:r>
        <m:r>
          <m:rPr>
            <m:sty m:val="p"/>
          </m:rPr>
          <m:t>[</m:t>
        </m:r>
        <m:r>
          <m:t>H</m:t>
        </m:r>
        <m:r>
          <m:t>C</m:t>
        </m:r>
        <m:sSubSup>
          <m:e>
            <m:r>
              <m:t>O</m:t>
            </m:r>
          </m:e>
          <m:sub>
            <m:r>
              <m:t>3</m:t>
            </m:r>
          </m:sub>
          <m:sup>
            <m:r>
              <m:rPr>
                <m:sty m:val="p"/>
              </m:rPr>
              <m:t>−</m:t>
            </m:r>
          </m:sup>
        </m:sSubSup>
        <m:r>
          <m:rPr>
            <m:sty m:val="p"/>
          </m:rPr>
          <m:t>]</m:t>
        </m:r>
      </m:oMath>
      <w:r>
        <w:t xml:space="preserve">, we can solve for the bicarbonate concentration:</w:t>
      </w:r>
    </w:p>
    <w:p>
      <w:pPr>
        <w:pStyle w:val="BodyText"/>
      </w:pPr>
      <m:oMathPara>
        <m:oMathParaPr>
          <m:jc m:val="center"/>
        </m:oMathParaPr>
        <m:oMath>
          <m:r>
            <m:rPr>
              <m:sty m:val="p"/>
            </m:rPr>
            <m:t>[</m:t>
          </m:r>
          <m:r>
            <m:t>H</m:t>
          </m:r>
          <m:r>
            <m:t>C</m:t>
          </m:r>
          <m:sSubSup>
            <m:e>
              <m:r>
                <m:t>O</m:t>
              </m:r>
            </m:e>
            <m:sub>
              <m:r>
                <m:t>3</m:t>
              </m:r>
            </m:sub>
            <m:sup>
              <m:r>
                <m:rPr>
                  <m:sty m:val="p"/>
                </m:rPr>
                <m:t>−</m:t>
              </m:r>
            </m:sup>
          </m:sSubSup>
          <m:r>
            <m:rPr>
              <m:sty m:val="p"/>
            </m:rPr>
            <m:t>]</m:t>
          </m:r>
          <m:r>
            <m:rPr>
              <m:sty m:val="p"/>
            </m:rPr>
            <m:t>=</m:t>
          </m:r>
          <m:rad>
            <m:radPr>
              <m:degHide m:val="on"/>
            </m:radPr>
            <m:deg/>
            <m:e>
              <m:r>
                <m:t>4.46</m:t>
              </m:r>
              <m:r>
                <m:rPr>
                  <m:sty m:val="p"/>
                </m:rPr>
                <m:t>×</m:t>
              </m:r>
              <m:sSup>
                <m:e>
                  <m:r>
                    <m:t>10</m:t>
                  </m:r>
                </m:e>
                <m:sup>
                  <m:r>
                    <m:rPr>
                      <m:sty m:val="p"/>
                    </m:rPr>
                    <m:t>−</m:t>
                  </m:r>
                  <m:r>
                    <m:t>7</m:t>
                  </m:r>
                </m:sup>
              </m:sSup>
              <m:r>
                <m:rPr>
                  <m:sty m:val="p"/>
                </m:rPr>
                <m:t>×</m:t>
              </m:r>
              <m:r>
                <m:t>0.034</m:t>
              </m:r>
            </m:e>
          </m:rad>
          <m:r>
            <m:rPr>
              <m:sty m:val="p"/>
            </m:rPr>
            <m:t>≈</m:t>
          </m:r>
          <m:r>
            <m:t>1.23</m:t>
          </m:r>
          <m:r>
            <m:rPr>
              <m:sty m:val="p"/>
            </m:rPr>
            <m:t>×</m:t>
          </m:r>
          <m:sSup>
            <m:e>
              <m:r>
                <m:t>10</m:t>
              </m:r>
            </m:e>
            <m:sup>
              <m:r>
                <m:rPr>
                  <m:sty m:val="p"/>
                </m:rPr>
                <m:t>−</m:t>
              </m:r>
              <m:r>
                <m:t>4</m:t>
              </m:r>
            </m:sup>
          </m:sSup>
          <m:r>
            <m:rPr>
              <m:nor/>
              <m:sty m:val="p"/>
            </m:rPr>
            <m:t> M</m:t>
          </m:r>
        </m:oMath>
      </m:oMathPara>
    </w:p>
    <w:p>
      <w:pPr>
        <w:pStyle w:val="FirstParagraph"/>
      </w:pPr>
      <w:r>
        <w:t xml:space="preserve">The intrinsic ionic strength (</w:t>
      </w:r>
      <m:oMath>
        <m:r>
          <m:t>I</m:t>
        </m:r>
      </m:oMath>
      <w:r>
        <w:t xml:space="preserve">) of the extractant is defined as:</w:t>
      </w:r>
    </w:p>
    <w:p>
      <w:pPr>
        <w:pStyle w:val="BodyText"/>
      </w:pPr>
      <m:oMathPara>
        <m:oMathParaPr>
          <m:jc m:val="center"/>
        </m:oMathParaPr>
        <m:oMath>
          <m:r>
            <m:t>I</m:t>
          </m:r>
          <m:r>
            <m:rPr>
              <m:sty m:val="p"/>
            </m:rPr>
            <m:t>=</m:t>
          </m:r>
          <m:f>
            <m:fPr>
              <m:type m:val="bar"/>
            </m:fPr>
            <m:num>
              <m:r>
                <m:t>1</m:t>
              </m:r>
            </m:num>
            <m:den>
              <m:r>
                <m:t>2</m:t>
              </m:r>
            </m:den>
          </m:f>
          <m:r>
            <m:rPr>
              <m:sty m:val="p"/>
            </m:rPr>
            <m:t>∑</m:t>
          </m:r>
          <m:r>
            <m:rPr>
              <m:sty m:val="p"/>
            </m:rPr>
            <m:t>(</m:t>
          </m:r>
          <m:sSub>
            <m:e>
              <m:r>
                <m:t>C</m:t>
              </m:r>
            </m:e>
            <m:sub>
              <m:r>
                <m:t>i</m:t>
              </m:r>
            </m:sub>
          </m:sSub>
          <m:sSubSup>
            <m:e>
              <m:r>
                <m:t>z</m:t>
              </m:r>
            </m:e>
            <m:sub>
              <m:r>
                <m:t>i</m:t>
              </m:r>
            </m:sub>
            <m:sup>
              <m:r>
                <m:t>2</m:t>
              </m:r>
            </m:sup>
          </m:sSubSup>
          <m:r>
            <m:rPr>
              <m:sty m:val="p"/>
            </m:rPr>
            <m:t>)</m:t>
          </m:r>
        </m:oMath>
      </m:oMathPara>
    </w:p>
    <w:p>
      <w:pPr>
        <w:pStyle w:val="FirstParagraph"/>
      </w:pPr>
      <m:oMathPara>
        <m:oMathParaPr>
          <m:jc m:val="center"/>
        </m:oMathParaPr>
        <m:oMath>
          <m:r>
            <m:t>I</m:t>
          </m:r>
          <m:r>
            <m:rPr>
              <m:sty m:val="p"/>
            </m:rPr>
            <m:t>=</m:t>
          </m:r>
          <m:f>
            <m:fPr>
              <m:type m:val="bar"/>
            </m:fPr>
            <m:num>
              <m:r>
                <m:t>1</m:t>
              </m:r>
            </m:num>
            <m:den>
              <m:r>
                <m:t>2</m:t>
              </m:r>
            </m:den>
          </m:f>
          <m:d>
            <m:dPr>
              <m:begChr m:val="("/>
              <m:sepChr m:val=""/>
              <m:endChr m:val=")"/>
              <m:grow/>
            </m:dPr>
            <m:e>
              <m:r>
                <m:rPr>
                  <m:sty m:val="p"/>
                </m:rPr>
                <m:t>(</m:t>
              </m:r>
              <m:r>
                <m:t>1.23</m:t>
              </m:r>
              <m:r>
                <m:rPr>
                  <m:sty m:val="p"/>
                </m:rPr>
                <m:t>×</m:t>
              </m:r>
              <m:sSup>
                <m:e>
                  <m:r>
                    <m:t>10</m:t>
                  </m:r>
                </m:e>
                <m:sup>
                  <m:r>
                    <m:rPr>
                      <m:sty m:val="p"/>
                    </m:rPr>
                    <m:t>−</m:t>
                  </m:r>
                  <m:r>
                    <m:t>4</m:t>
                  </m:r>
                </m:sup>
              </m:sSup>
              <m:r>
                <m:rPr>
                  <m:sty m:val="p"/>
                </m:rPr>
                <m:t>×</m:t>
              </m:r>
              <m:r>
                <m:rPr>
                  <m:sty m:val="p"/>
                </m:rPr>
                <m:t>(</m:t>
              </m:r>
              <m:r>
                <m:rPr>
                  <m:sty m:val="p"/>
                </m:rPr>
                <m:t>+</m:t>
              </m:r>
              <m:r>
                <m:t>1</m:t>
              </m:r>
              <m:sSup>
                <m:e>
                  <m:r>
                    <m:rPr>
                      <m:sty m:val="p"/>
                    </m:rPr>
                    <m:t>)</m:t>
                  </m:r>
                </m:e>
                <m:sup>
                  <m:r>
                    <m:t>2</m:t>
                  </m:r>
                </m:sup>
              </m:sSup>
              <m:r>
                <m:rPr>
                  <m:sty m:val="p"/>
                </m:rPr>
                <m:t>)</m:t>
              </m:r>
              <m:r>
                <m:rPr>
                  <m:sty m:val="p"/>
                </m:rPr>
                <m:t>+</m:t>
              </m:r>
              <m:r>
                <m:rPr>
                  <m:sty m:val="p"/>
                </m:rPr>
                <m:t>(</m:t>
              </m:r>
              <m:r>
                <m:t>1.23</m:t>
              </m:r>
              <m:r>
                <m:rPr>
                  <m:sty m:val="p"/>
                </m:rPr>
                <m:t>×</m:t>
              </m:r>
              <m:sSup>
                <m:e>
                  <m:r>
                    <m:t>10</m:t>
                  </m:r>
                </m:e>
                <m:sup>
                  <m:r>
                    <m:rPr>
                      <m:sty m:val="p"/>
                    </m:rPr>
                    <m:t>−</m:t>
                  </m:r>
                  <m:r>
                    <m:t>4</m:t>
                  </m:r>
                </m:sup>
              </m:sSup>
              <m:r>
                <m:rPr>
                  <m:sty m:val="p"/>
                </m:rPr>
                <m:t>×</m:t>
              </m:r>
              <m:r>
                <m:rPr>
                  <m:sty m:val="p"/>
                </m:rPr>
                <m:t>(</m:t>
              </m:r>
              <m:r>
                <m:rPr>
                  <m:sty m:val="p"/>
                </m:rPr>
                <m:t>−</m:t>
              </m:r>
              <m:r>
                <m:t>1</m:t>
              </m:r>
              <m:sSup>
                <m:e>
                  <m:r>
                    <m:rPr>
                      <m:sty m:val="p"/>
                    </m:rPr>
                    <m:t>)</m:t>
                  </m:r>
                </m:e>
                <m:sup>
                  <m:r>
                    <m:t>2</m:t>
                  </m:r>
                </m:sup>
              </m:sSup>
              <m:r>
                <m:rPr>
                  <m:sty m:val="p"/>
                </m:rPr>
                <m:t>)</m:t>
              </m:r>
            </m:e>
          </m:d>
          <m:r>
            <m:rPr>
              <m:sty m:val="p"/>
            </m:rPr>
            <m:t>≈</m:t>
          </m:r>
          <m:r>
            <m:t>0.00012</m:t>
          </m:r>
          <m:r>
            <m:rPr>
              <m:nor/>
              <m:sty m:val="p"/>
            </m:rPr>
            <m:t> M</m:t>
          </m:r>
        </m:oMath>
      </m:oMathPara>
    </w:p>
    <w:p>
      <w:pPr>
        <w:pStyle w:val="FirstParagraph"/>
      </w:pPr>
      <w:r>
        <w:t xml:space="preserve">This intrinsic ionic strength (</w:t>
      </w:r>
      <m:oMath>
        <m:r>
          <m:rPr>
            <m:sty m:val="p"/>
          </m:rPr>
          <m:t>≈</m:t>
        </m:r>
        <m:r>
          <m:t>0.12</m:t>
        </m:r>
        <m:r>
          <m:rPr>
            <m:nor/>
            <m:sty m:val="p"/>
          </m:rPr>
          <m:t> mM</m:t>
        </m:r>
      </m:oMath>
      <w:r>
        <w:t xml:space="preserve">) is infinitesimally small compared to native agricultural soil solutions (which typically range from</w:t>
      </w:r>
      <w:r>
        <w:t xml:space="preserve"> </w:t>
      </w:r>
      <m:oMath>
        <m:r>
          <m:t>10</m:t>
        </m:r>
      </m:oMath>
      <w:r>
        <w:t xml:space="preserve"> </w:t>
      </w:r>
      <w:r>
        <w:t xml:space="preserve">to</w:t>
      </w:r>
      <w:r>
        <w:t xml:space="preserve"> </w:t>
      </w:r>
      <m:oMath>
        <m:r>
          <m:t>50</m:t>
        </m:r>
        <m:r>
          <m:rPr>
            <m:nor/>
            <m:sty m:val="p"/>
          </m:rPr>
          <m:t> mM</m:t>
        </m:r>
      </m:oMath>
      <w:r>
        <w:t xml:space="preserve">). Therefore, the final ionic strength of the</w:t>
      </w:r>
      <w:r>
        <w:t xml:space="preserve"> </w:t>
      </w:r>
      <m:oMath>
        <m:sSub>
          <m:e>
            <m:r>
              <m:t>P</m:t>
            </m:r>
          </m:e>
          <m:sub>
            <m:r>
              <m:t>C</m:t>
            </m:r>
            <m:sSub>
              <m:e>
                <m:r>
                  <m:t>O</m:t>
                </m:r>
              </m:e>
              <m:sub>
                <m:r>
                  <m:t>2</m:t>
                </m:r>
              </m:sub>
            </m:sSub>
          </m:sub>
        </m:sSub>
      </m:oMath>
      <w:r>
        <w:t xml:space="preserve"> </w:t>
      </w:r>
      <w:r>
        <w:t xml:space="preserve">extract is overwhelmingly dictated by the dissolved soluble salts of the specific soil being analyzed.</w:t>
      </w:r>
    </w:p>
    <w:bookmarkEnd w:id="50"/>
    <w:bookmarkStart w:id="51" w:name="X8ef57afce3e26af86625f37a3880dd9c4114bfc"/>
    <w:p>
      <w:pPr>
        <w:pStyle w:val="Heading2"/>
      </w:pPr>
      <w:r>
        <w:t xml:space="preserve">4.2 A.2. Justification for the Davies Equation</w:t>
      </w:r>
    </w:p>
    <w:p>
      <w:pPr>
        <w:pStyle w:val="FirstParagraph"/>
      </w:pPr>
      <w:r>
        <w:t xml:space="preserve">Because the</w:t>
      </w:r>
      <w:r>
        <w:t xml:space="preserve"> </w:t>
      </w:r>
      <m:oMath>
        <m:sSub>
          <m:e>
            <m:r>
              <m:t>P</m:t>
            </m:r>
          </m:e>
          <m:sub>
            <m:r>
              <m:t>C</m:t>
            </m:r>
            <m:sSub>
              <m:e>
                <m:r>
                  <m:t>O</m:t>
                </m:r>
              </m:e>
              <m:sub>
                <m:r>
                  <m:t>2</m:t>
                </m:r>
              </m:sub>
            </m:sSub>
          </m:sub>
        </m:sSub>
      </m:oMath>
      <w:r>
        <w:t xml:space="preserve"> </w:t>
      </w:r>
      <w:r>
        <w:t xml:space="preserve">extract adopts the native ionic composition of the soil, reading the orthophosphate concentrations against an</w:t>
      </w:r>
      <w:r>
        <w:t xml:space="preserve"> </w:t>
      </w:r>
      <m:oMath>
        <m:r>
          <m:t>I</m:t>
        </m:r>
        <m:r>
          <m:rPr>
            <m:sty m:val="p"/>
          </m:rPr>
          <m:t>=</m:t>
        </m:r>
        <m:r>
          <m:t>0</m:t>
        </m:r>
      </m:oMath>
      <w:r>
        <w:t xml:space="preserve"> </w:t>
      </w:r>
      <w:r>
        <w:t xml:space="preserve">(distilled water) calibration curve introduces systematic error. The true thermodynamic driving force for P-availability is the chemical</w:t>
      </w:r>
      <w:r>
        <w:t xml:space="preserve"> </w:t>
      </w:r>
      <w:r>
        <w:rPr>
          <w:b/>
          <w:bCs/>
        </w:rPr>
        <w:t xml:space="preserve">activity</w:t>
      </w:r>
      <w:r>
        <w:t xml:space="preserve">, not the stoichiometric concentration.</w:t>
      </w:r>
    </w:p>
    <w:p>
      <w:pPr>
        <w:pStyle w:val="BodyText"/>
      </w:pPr>
      <w:r>
        <w:t xml:space="preserve">To correct for this, an activity coefficient (</w:t>
      </w:r>
      <m:oMath>
        <m:r>
          <m:t>γ</m:t>
        </m:r>
      </m:oMath>
      <w:r>
        <w:t xml:space="preserve">) must be applied. While the Pitzer equations are the gold standard for high-ionic-strength solutions (</w:t>
      </w:r>
      <m:oMath>
        <m:r>
          <m:t>I</m:t>
        </m:r>
        <m:r>
          <m:rPr>
            <m:sty m:val="p"/>
          </m:rPr>
          <m:t>&gt;</m:t>
        </m:r>
        <m:r>
          <m:t>0.5</m:t>
        </m:r>
        <m:r>
          <m:rPr>
            <m:nor/>
            <m:sty m:val="p"/>
          </m:rPr>
          <m:t> M</m:t>
        </m:r>
      </m:oMath>
      <w:r>
        <w:t xml:space="preserve">, such as the P-AAE10 extractant), the ionic strength of native agricultural soil solutions is typically much lower (</w:t>
      </w:r>
      <m:oMath>
        <m:r>
          <m:t>I</m:t>
        </m:r>
        <m:r>
          <m:rPr>
            <m:sty m:val="p"/>
          </m:rPr>
          <m:t>&lt;</m:t>
        </m:r>
        <m:r>
          <m:t>0.1</m:t>
        </m:r>
        <m:r>
          <m:rPr>
            <m:nor/>
            <m:sty m:val="p"/>
          </m:rPr>
          <m:t> M</m:t>
        </m:r>
      </m:oMath>
      <w:r>
        <w:t xml:space="preserve">).</w:t>
      </w:r>
    </w:p>
    <w:p>
      <w:pPr>
        <w:pStyle w:val="BodyText"/>
      </w:pPr>
      <w:r>
        <w:t xml:space="preserve">In this low-to-moderate ionic strength regime, the</w:t>
      </w:r>
      <w:r>
        <w:t xml:space="preserve"> </w:t>
      </w:r>
      <w:r>
        <w:rPr>
          <w:b/>
          <w:bCs/>
        </w:rPr>
        <w:t xml:space="preserve">Davies equation</w:t>
      </w:r>
      <w:r>
        <w:t xml:space="preserve"> </w:t>
      </w:r>
      <w:r>
        <w:t xml:space="preserve">(an empirical extension of the Debye-Hückel theory) is highly accurate and does not require complex, ion-specific interaction parameters.</w:t>
      </w:r>
    </w:p>
    <w:p>
      <w:pPr>
        <w:pStyle w:val="BodyText"/>
      </w:pPr>
      <w:r>
        <w:t xml:space="preserve">The Davies equation calculates the activity coefficient (</w:t>
      </w:r>
      <m:oMath>
        <m:r>
          <m:t>γ</m:t>
        </m:r>
      </m:oMath>
      <w:r>
        <w:t xml:space="preserve">) as follows:</w:t>
      </w:r>
    </w:p>
    <w:p>
      <w:pPr>
        <w:pStyle w:val="BodyText"/>
      </w:pPr>
      <m:oMathPara>
        <m:oMathParaPr>
          <m:jc m:val="center"/>
        </m:oMathParaPr>
        <m:oMath>
          <m:sSub>
            <m:e>
              <m:r>
                <m:rPr>
                  <m:sty m:val="p"/>
                </m:rPr>
                <m:t>log</m:t>
              </m:r>
            </m:e>
            <m:sub>
              <m:r>
                <m:t>10</m:t>
              </m:r>
            </m:sub>
          </m:sSub>
          <m:r>
            <m:rPr>
              <m:sty m:val="p"/>
            </m:rPr>
            <m:t>(</m:t>
          </m:r>
          <m:r>
            <m:t>γ</m:t>
          </m:r>
          <m:r>
            <m:rPr>
              <m:sty m:val="p"/>
            </m:rPr>
            <m:t>)</m:t>
          </m:r>
          <m:r>
            <m:rPr>
              <m:sty m:val="p"/>
            </m:rPr>
            <m:t>=</m:t>
          </m:r>
          <m:r>
            <m:rPr>
              <m:sty m:val="p"/>
            </m:rPr>
            <m:t>−</m:t>
          </m:r>
          <m:r>
            <m:t>A</m:t>
          </m:r>
          <m:sSup>
            <m:e>
              <m:r>
                <m:t>z</m:t>
              </m:r>
            </m:e>
            <m:sup>
              <m:r>
                <m:t>2</m:t>
              </m:r>
            </m:sup>
          </m:sSup>
          <m:d>
            <m:dPr>
              <m:begChr m:val="("/>
              <m:sepChr m:val=""/>
              <m:endChr m:val=")"/>
              <m:grow/>
            </m:dPr>
            <m:e>
              <m:f>
                <m:fPr>
                  <m:type m:val="bar"/>
                </m:fPr>
                <m:num>
                  <m:rad>
                    <m:radPr>
                      <m:degHide m:val="on"/>
                    </m:radPr>
                    <m:deg/>
                    <m:e>
                      <m:r>
                        <m:t>I</m:t>
                      </m:r>
                    </m:e>
                  </m:rad>
                </m:num>
                <m:den>
                  <m:r>
                    <m:t>1</m:t>
                  </m:r>
                  <m:r>
                    <m:rPr>
                      <m:sty m:val="p"/>
                    </m:rPr>
                    <m:t>+</m:t>
                  </m:r>
                  <m:rad>
                    <m:radPr>
                      <m:degHide m:val="on"/>
                    </m:radPr>
                    <m:deg/>
                    <m:e>
                      <m:r>
                        <m:t>I</m:t>
                      </m:r>
                    </m:e>
                  </m:rad>
                </m:den>
              </m:f>
              <m:r>
                <m:rPr>
                  <m:sty m:val="p"/>
                </m:rPr>
                <m:t>−</m:t>
              </m:r>
              <m:r>
                <m:t>0.3</m:t>
              </m:r>
              <m:r>
                <m:t>I</m:t>
              </m:r>
            </m:e>
          </m:d>
        </m:oMath>
      </m:oMathPara>
    </w:p>
    <w:p>
      <w:pPr>
        <w:pStyle w:val="FirstParagraph"/>
      </w:pPr>
      <w:r>
        <w:t xml:space="preserve">Where:</w:t>
      </w:r>
      <w:r>
        <w:t xml:space="preserve"> </w:t>
      </w:r>
      <w:r>
        <w:t xml:space="preserve">*</w:t>
      </w:r>
      <w:r>
        <w:t xml:space="preserve"> </w:t>
      </w:r>
      <m:oMath>
        <m:r>
          <m:t>A</m:t>
        </m:r>
      </m:oMath>
      <w:r>
        <w:t xml:space="preserve"> </w:t>
      </w:r>
      <w:r>
        <w:t xml:space="preserve">is a temperature-dependent constant (</w:t>
      </w:r>
      <m:oMath>
        <m:r>
          <m:rPr>
            <m:sty m:val="p"/>
          </m:rPr>
          <m:t>≈</m:t>
        </m:r>
        <m:r>
          <m:t>0.509</m:t>
        </m:r>
        <m:sSup>
          <m:e>
            <m:r>
              <m:rPr>
                <m:nor/>
                <m:sty m:val="p"/>
              </m:rPr>
              <m:t> L</m:t>
            </m:r>
          </m:e>
          <m:sup>
            <m:r>
              <m:t>0.5</m:t>
            </m:r>
          </m:sup>
        </m:sSup>
        <m:sSup>
          <m:e>
            <m:r>
              <m:rPr>
                <m:nor/>
                <m:sty m:val="p"/>
              </m:rPr>
              <m:t>mol</m:t>
            </m:r>
          </m:e>
          <m:sup>
            <m:r>
              <m:rPr>
                <m:sty m:val="p"/>
              </m:rPr>
              <m:t>−</m:t>
            </m:r>
            <m:r>
              <m:t>0.5</m:t>
            </m:r>
          </m:sup>
        </m:sSup>
      </m:oMath>
      <w:r>
        <w:t xml:space="preserve"> </w:t>
      </w:r>
      <w:r>
        <w:t xml:space="preserve">for water at 25 °C).</w:t>
      </w:r>
      <w:r>
        <w:t xml:space="preserve"> </w:t>
      </w:r>
      <w:r>
        <w:t xml:space="preserve">*</w:t>
      </w:r>
      <w:r>
        <w:t xml:space="preserve"> </w:t>
      </w:r>
      <m:oMath>
        <m:r>
          <m:t>z</m:t>
        </m:r>
      </m:oMath>
      <w:r>
        <w:t xml:space="preserve"> </w:t>
      </w:r>
      <w:r>
        <w:t xml:space="preserve">is the charge of the ion in question (for orthophosphate,</w:t>
      </w:r>
      <w:r>
        <w:t xml:space="preserve"> </w:t>
      </w:r>
      <m:oMath>
        <m:r>
          <m:t>z</m:t>
        </m:r>
      </m:oMath>
      <w:r>
        <w:t xml:space="preserve"> </w:t>
      </w:r>
      <w:r>
        <w:t xml:space="preserve">depends on pH, predominantly</w:t>
      </w:r>
      <w:r>
        <w:t xml:space="preserve"> </w:t>
      </w:r>
      <m:oMath>
        <m:r>
          <m:rPr>
            <m:sty m:val="p"/>
          </m:rPr>
          <m:t>−</m:t>
        </m:r>
        <m:r>
          <m:t>1</m:t>
        </m:r>
      </m:oMath>
      <w:r>
        <w:t xml:space="preserve"> </w:t>
      </w:r>
      <w:r>
        <w:t xml:space="preserve">for</w:t>
      </w:r>
      <w:r>
        <w:t xml:space="preserve"> </w:t>
      </w:r>
      <m:oMath>
        <m:sSub>
          <m:e>
            <m:r>
              <m:t>H</m:t>
            </m:r>
          </m:e>
          <m:sub>
            <m:r>
              <m:t>2</m:t>
            </m:r>
          </m:sub>
        </m:sSub>
        <m:r>
          <m:t>P</m:t>
        </m:r>
        <m:sSubSup>
          <m:e>
            <m:r>
              <m:t>O</m:t>
            </m:r>
          </m:e>
          <m:sub>
            <m:r>
              <m:t>4</m:t>
            </m:r>
          </m:sub>
          <m:sup>
            <m:r>
              <m:rPr>
                <m:sty m:val="p"/>
              </m:rPr>
              <m:t>−</m:t>
            </m:r>
          </m:sup>
        </m:sSubSup>
      </m:oMath>
      <w:r>
        <w:t xml:space="preserve"> </w:t>
      </w:r>
      <w:r>
        <w:t xml:space="preserve">and</w:t>
      </w:r>
      <w:r>
        <w:t xml:space="preserve"> </w:t>
      </w:r>
      <m:oMath>
        <m:r>
          <m:rPr>
            <m:sty m:val="p"/>
          </m:rPr>
          <m:t>−</m:t>
        </m:r>
        <m:r>
          <m:t>2</m:t>
        </m:r>
      </m:oMath>
      <w:r>
        <w:t xml:space="preserve"> </w:t>
      </w:r>
      <w:r>
        <w:t xml:space="preserve">for</w:t>
      </w:r>
      <w:r>
        <w:t xml:space="preserve"> </w:t>
      </w:r>
      <m:oMath>
        <m:r>
          <m:t>H</m:t>
        </m:r>
        <m:r>
          <m:t>P</m:t>
        </m:r>
        <m:sSubSup>
          <m:e>
            <m:r>
              <m:t>O</m:t>
            </m:r>
          </m:e>
          <m:sub>
            <m:r>
              <m:t>4</m:t>
            </m:r>
          </m:sub>
          <m:sup>
            <m:r>
              <m:t>2</m:t>
            </m:r>
            <m:r>
              <m:rPr>
                <m:sty m:val="p"/>
              </m:rPr>
              <m:t>−</m:t>
            </m:r>
          </m:sup>
        </m:sSubSup>
      </m:oMath>
      <w:r>
        <w:t xml:space="preserve">).</w:t>
      </w:r>
      <w:r>
        <w:t xml:space="preserve"> </w:t>
      </w:r>
      <w:r>
        <w:t xml:space="preserve">*</w:t>
      </w:r>
      <w:r>
        <w:t xml:space="preserve"> </w:t>
      </w:r>
      <m:oMath>
        <m:r>
          <m:t>I</m:t>
        </m:r>
      </m:oMath>
      <w:r>
        <w:t xml:space="preserve"> </w:t>
      </w:r>
      <w:r>
        <w:t xml:space="preserve">is the total ionic strength of the extracted solution, calculated from the measured concentrations of major cations (</w:t>
      </w:r>
      <m:oMath>
        <m:r>
          <m:t>C</m:t>
        </m:r>
        <m:sSup>
          <m:e>
            <m:r>
              <m:t>a</m:t>
            </m:r>
          </m:e>
          <m:sup>
            <m:r>
              <m:t>2</m:t>
            </m:r>
            <m:r>
              <m:rPr>
                <m:sty m:val="p"/>
              </m:rPr>
              <m:t>+</m:t>
            </m:r>
          </m:sup>
        </m:sSup>
        <m:r>
          <m:rPr>
            <m:sty m:val="p"/>
          </m:rPr>
          <m:t>,</m:t>
        </m:r>
        <m:r>
          <m:t>M</m:t>
        </m:r>
        <m:sSup>
          <m:e>
            <m:r>
              <m:t>g</m:t>
            </m:r>
          </m:e>
          <m:sup>
            <m:r>
              <m:t>2</m:t>
            </m:r>
            <m:r>
              <m:rPr>
                <m:sty m:val="p"/>
              </m:rPr>
              <m:t>+</m:t>
            </m:r>
          </m:sup>
        </m:sSup>
        <m:r>
          <m:rPr>
            <m:sty m:val="p"/>
          </m:rPr>
          <m:t>,</m:t>
        </m:r>
        <m:sSup>
          <m:e>
            <m:r>
              <m:t>K</m:t>
            </m:r>
          </m:e>
          <m:sup>
            <m:r>
              <m:rPr>
                <m:sty m:val="p"/>
              </m:rPr>
              <m:t>+</m:t>
            </m:r>
          </m:sup>
        </m:sSup>
      </m:oMath>
      <w:r>
        <w:t xml:space="preserve">).</w:t>
      </w:r>
    </w:p>
    <w:bookmarkEnd w:id="51"/>
    <w:bookmarkStart w:id="54" w:name="X7cfd2e40ece616de93c98fe743f64dd11c88404"/>
    <w:p>
      <w:pPr>
        <w:pStyle w:val="Heading2"/>
      </w:pPr>
      <w:r>
        <w:t xml:space="preserve">4.3 A.3. Implementation of Thermodynamic Correction</w:t>
      </w:r>
    </w:p>
    <w:p>
      <w:pPr>
        <w:pStyle w:val="FirstParagraph"/>
      </w:pPr>
      <w:r>
        <w:t xml:space="preserve">To assess the theoretical P-Intensity (</w:t>
      </w:r>
      <m:oMath>
        <m:r>
          <m:t>I</m:t>
        </m:r>
      </m:oMath>
      <w:r>
        <w:t xml:space="preserve">) and formulate the Phosphorus Buffering Capacity (PBC), the operationally defined</w:t>
      </w:r>
      <w:r>
        <w:t xml:space="preserve"> </w:t>
      </w:r>
      <m:oMath>
        <m:sSub>
          <m:e>
            <m:r>
              <m:t>P</m:t>
            </m:r>
          </m:e>
          <m:sub>
            <m:r>
              <m:t>C</m:t>
            </m:r>
            <m:sSub>
              <m:e>
                <m:r>
                  <m:t>O</m:t>
                </m:r>
              </m:e>
              <m:sub>
                <m:r>
                  <m:t>2</m:t>
                </m:r>
              </m:sub>
            </m:sSub>
          </m:sub>
        </m:sSub>
      </m:oMath>
      <w:r>
        <w:t xml:space="preserve"> </w:t>
      </w:r>
      <w:r>
        <w:t xml:space="preserve">concentrations are converted to thermodynamic activities using the following sequential steps:</w:t>
      </w:r>
    </w:p>
    <w:p>
      <w:pPr>
        <w:pStyle w:val="Compact"/>
        <w:numPr>
          <w:ilvl w:val="0"/>
          <w:numId w:val="1004"/>
        </w:numPr>
      </w:pPr>
      <w:r>
        <w:rPr>
          <w:b/>
          <w:bCs/>
        </w:rPr>
        <w:t xml:space="preserve">Determine Total Ionic Strength (</w:t>
      </w:r>
      <m:oMath>
        <m:r>
          <m:t>I</m:t>
        </m:r>
      </m:oMath>
      <w:r>
        <w:rPr>
          <w:b/>
          <w:bCs/>
        </w:rPr>
        <w:t xml:space="preserve">):</w:t>
      </w:r>
      <w:r>
        <w:t xml:space="preserve"> </w:t>
      </w:r>
      <w:r>
        <w:t xml:space="preserve">Using the measured cation concentrations from the extracts.</w:t>
      </w:r>
    </w:p>
    <w:p>
      <w:pPr>
        <w:pStyle w:val="Compact"/>
      </w:pPr>
      <m:oMathPara>
        <m:oMathParaPr>
          <m:jc m:val="center"/>
        </m:oMathParaPr>
        <m:oMath>
          <m:r>
            <m:t>I</m:t>
          </m:r>
          <m:r>
            <m:rPr>
              <m:sty m:val="p"/>
            </m:rPr>
            <m:t>=</m:t>
          </m:r>
          <m:f>
            <m:fPr>
              <m:type m:val="bar"/>
            </m:fPr>
            <m:num>
              <m:r>
                <m:t>1</m:t>
              </m:r>
            </m:num>
            <m:den>
              <m:r>
                <m:t>2</m:t>
              </m:r>
            </m:den>
          </m:f>
          <m:d>
            <m:dPr>
              <m:begChr m:val="("/>
              <m:sepChr m:val=""/>
              <m:endChr m:val=")"/>
              <m:grow/>
            </m:dPr>
            <m:e>
              <m:r>
                <m:rPr>
                  <m:sty m:val="p"/>
                </m:rPr>
                <m:t>[</m:t>
              </m:r>
              <m:sSup>
                <m:e>
                  <m:r>
                    <m:t>K</m:t>
                  </m:r>
                </m:e>
                <m:sup>
                  <m:r>
                    <m:rPr>
                      <m:sty m:val="p"/>
                    </m:rPr>
                    <m:t>+</m:t>
                  </m:r>
                </m:sup>
              </m:sSup>
              <m:r>
                <m:rPr>
                  <m:sty m:val="p"/>
                </m:rPr>
                <m:t>]</m:t>
              </m:r>
              <m:r>
                <m:rPr>
                  <m:sty m:val="p"/>
                </m:rPr>
                <m:t>+</m:t>
              </m:r>
              <m:r>
                <m:t>4</m:t>
              </m:r>
              <m:r>
                <m:rPr>
                  <m:sty m:val="p"/>
                </m:rPr>
                <m:t>[</m:t>
              </m:r>
              <m:r>
                <m:t>C</m:t>
              </m:r>
              <m:sSup>
                <m:e>
                  <m:r>
                    <m:t>a</m:t>
                  </m:r>
                </m:e>
                <m:sup>
                  <m:r>
                    <m:t>2</m:t>
                  </m:r>
                  <m:r>
                    <m:rPr>
                      <m:sty m:val="p"/>
                    </m:rPr>
                    <m:t>+</m:t>
                  </m:r>
                </m:sup>
              </m:sSup>
              <m:r>
                <m:rPr>
                  <m:sty m:val="p"/>
                </m:rPr>
                <m:t>]</m:t>
              </m:r>
              <m:r>
                <m:rPr>
                  <m:sty m:val="p"/>
                </m:rPr>
                <m:t>+</m:t>
              </m:r>
              <m:r>
                <m:t>4</m:t>
              </m:r>
              <m:r>
                <m:rPr>
                  <m:sty m:val="p"/>
                </m:rPr>
                <m:t>[</m:t>
              </m:r>
              <m:r>
                <m:t>M</m:t>
              </m:r>
              <m:sSup>
                <m:e>
                  <m:r>
                    <m:t>g</m:t>
                  </m:r>
                </m:e>
                <m:sup>
                  <m:r>
                    <m:t>2</m:t>
                  </m:r>
                  <m:r>
                    <m:rPr>
                      <m:sty m:val="p"/>
                    </m:rPr>
                    <m:t>+</m:t>
                  </m:r>
                </m:sup>
              </m:sSup>
              <m:r>
                <m:rPr>
                  <m:sty m:val="p"/>
                </m:rPr>
                <m:t>]</m:t>
              </m:r>
              <m:r>
                <m:rPr>
                  <m:sty m:val="p"/>
                </m:rPr>
                <m:t>+</m:t>
              </m:r>
              <m:r>
                <m:rPr>
                  <m:sty m:val="p"/>
                </m:rPr>
                <m:t>…</m:t>
              </m:r>
            </m:e>
          </m:d>
        </m:oMath>
      </m:oMathPara>
    </w:p>
    <w:p>
      <w:pPr>
        <w:pStyle w:val="Compact"/>
        <w:numPr>
          <w:ilvl w:val="0"/>
          <w:numId w:val="1004"/>
        </w:numPr>
      </w:pPr>
      <w:r>
        <w:rPr>
          <w:b/>
          <w:bCs/>
        </w:rPr>
        <w:t xml:space="preserve">Calculate the Activity Coefficient (</w:t>
      </w:r>
      <m:oMath>
        <m:r>
          <m:t>γ</m:t>
        </m:r>
      </m:oMath>
      <w:r>
        <w:rPr>
          <w:b/>
          <w:bCs/>
        </w:rPr>
        <w:t xml:space="preserve">):</w:t>
      </w:r>
      <w:r>
        <w:t xml:space="preserve"> </w:t>
      </w:r>
      <w:r>
        <w:t xml:space="preserve">Applying the Davies equation based on the sample’s specific</w:t>
      </w:r>
      <w:r>
        <w:t xml:space="preserve"> </w:t>
      </w:r>
      <m:oMath>
        <m:r>
          <m:t>I</m:t>
        </m:r>
      </m:oMath>
      <w:r>
        <w:t xml:space="preserve">.</w:t>
      </w:r>
    </w:p>
    <w:p>
      <w:pPr>
        <w:pStyle w:val="Compact"/>
        <w:numPr>
          <w:ilvl w:val="0"/>
          <w:numId w:val="1004"/>
        </w:numPr>
      </w:pPr>
      <w:r>
        <w:rPr>
          <w:b/>
          <w:bCs/>
        </w:rPr>
        <w:t xml:space="preserve">Compute Chemical Activity:</w:t>
      </w:r>
    </w:p>
    <w:p>
      <w:pPr>
        <w:pStyle w:val="Compact"/>
      </w:pPr>
      <m:oMathPara>
        <m:oMathParaPr>
          <m:jc m:val="center"/>
        </m:oMathParaPr>
        <m:oMath>
          <m:r>
            <m:rPr>
              <m:nor/>
              <m:sty m:val="p"/>
            </m:rPr>
            <m:t>Activity</m:t>
          </m:r>
          <m:r>
            <m:rPr>
              <m:sty m:val="p"/>
            </m:rPr>
            <m:t>(</m:t>
          </m:r>
          <m:r>
            <m:t>P</m:t>
          </m:r>
          <m:r>
            <m:rPr>
              <m:sty m:val="p"/>
            </m:rPr>
            <m:t>)</m:t>
          </m:r>
          <m:r>
            <m:rPr>
              <m:sty m:val="p"/>
            </m:rPr>
            <m:t>=</m:t>
          </m:r>
          <m:r>
            <m:rPr>
              <m:sty m:val="p"/>
            </m:rPr>
            <m:t>[</m:t>
          </m:r>
          <m:sSub>
            <m:e>
              <m:r>
                <m:t>P</m:t>
              </m:r>
            </m:e>
            <m:sub>
              <m:r>
                <m:t>C</m:t>
              </m:r>
              <m:sSub>
                <m:e>
                  <m:r>
                    <m:t>O</m:t>
                  </m:r>
                </m:e>
                <m:sub>
                  <m:r>
                    <m:t>2</m:t>
                  </m:r>
                </m:sub>
              </m:sSub>
            </m:sub>
          </m:sSub>
          <m:r>
            <m:rPr>
              <m:sty m:val="p"/>
            </m:rPr>
            <m:t>]</m:t>
          </m:r>
          <m:r>
            <m:rPr>
              <m:sty m:val="p"/>
            </m:rPr>
            <m:t>×</m:t>
          </m:r>
          <m:r>
            <m:t>γ</m:t>
          </m:r>
        </m:oMath>
      </m:oMathPara>
    </w:p>
    <w:p>
      <w:pPr>
        <w:pStyle w:val="FirstParagraph"/>
      </w:pPr>
      <w:r>
        <w:t xml:space="preserve">By standardizing the measurements to their true thermodynamic activity, we remove the analytical bias introduced by varying soil salinity and pedoclimatic history, allowing for an absolute comparison of P-Intensity across all STYCS experimental sites.</w:t>
      </w:r>
      <w:r>
        <w:t xml:space="preserve"> </w:t>
      </w:r>
      <w:r>
        <w:t xml:space="preserve">## A.4 Supplementary Materials and Reproducibility</w:t>
      </w:r>
    </w:p>
    <w:p>
      <w:pPr>
        <w:pStyle w:val="BodyText"/>
      </w:pPr>
      <w:r>
        <w:t xml:space="preserve">This Master’s thesis was produced using a fully reproducible workflow with the</w:t>
      </w:r>
      <w:r>
        <w:t xml:space="preserve"> </w:t>
      </w:r>
      <w:r>
        <w:rPr>
          <w:b/>
          <w:bCs/>
        </w:rPr>
        <w:t xml:space="preserve">Quarto</w:t>
      </w:r>
      <w:r>
        <w:t xml:space="preserve"> </w:t>
      </w:r>
      <w:r>
        <w:t xml:space="preserve">publishing system. All data, R scripts, and analytical notebooks used to generate the figures, tables, and results presented in this work are openly available.</w:t>
      </w:r>
    </w:p>
    <w:p>
      <w:pPr>
        <w:pStyle w:val="BodyText"/>
      </w:pPr>
      <w:r>
        <w:t xml:space="preserve">The complete project can be cloned from the author’s GitHub repository, which contains the raw data, the R code for the kinetic and statistical models, and the Quarto source files.</w:t>
      </w:r>
    </w:p>
    <w:p>
      <w:pPr>
        <w:pStyle w:val="BodyText"/>
      </w:pPr>
      <w:r>
        <w:rPr>
          <w:b/>
          <w:bCs/>
        </w:rPr>
        <w:t xml:space="preserve">GitHub Repository URL:</w:t>
      </w:r>
      <w:r>
        <w:t xml:space="preserve"> </w:t>
      </w:r>
      <w:hyperlink r:id="rId52">
        <w:r>
          <w:rPr>
            <w:rStyle w:val="Hyperlink"/>
            <w:b/>
            <w:bCs/>
          </w:rPr>
          <w:t xml:space="preserve">[https://github.com/ptochosgeorgos/Article-P-desorption-kinetics]</w:t>
        </w:r>
      </w:hyperlink>
    </w:p>
    <w:p>
      <w:pPr>
        <w:pStyle w:val="BodyText"/>
      </w:pPr>
      <w:r>
        <w:t xml:space="preserve">A rendered version of the full project, including the analytical notebooks that document the development process, is also available as a GitHub Pages website at the following URL:</w:t>
      </w:r>
    </w:p>
    <w:p>
      <w:pPr>
        <w:pStyle w:val="BodyText"/>
      </w:pPr>
      <w:r>
        <w:rPr>
          <w:b/>
          <w:bCs/>
        </w:rPr>
        <w:t xml:space="preserve">GitHub Pages Site URL:</w:t>
      </w:r>
      <w:r>
        <w:t xml:space="preserve"> </w:t>
      </w:r>
      <w:hyperlink r:id="rId53">
        <w:r>
          <w:rPr>
            <w:rStyle w:val="Hyperlink"/>
            <w:b/>
            <w:bCs/>
          </w:rPr>
          <w:t xml:space="preserve">[https://ptochosgeorgos.github.io/Article-P-desorption-kinetics/]</w:t>
        </w:r>
      </w:hyperlink>
    </w:p>
    <w:p>
      <w:pPr>
        <w:pStyle w:val="BodyText"/>
      </w:pPr>
      <w:r>
        <w:t xml:space="preserve">This approach ensures full transparency and allows for the complete replication of the findings presented in this thesis.</w:t>
      </w:r>
    </w:p>
    <w:bookmarkEnd w:id="54"/>
    <w:bookmarkEnd w:id="5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png" /><Relationship Type="http://schemas.openxmlformats.org/officeDocument/2006/relationships/hyperlink" Id="rId42" Target="https://CRAN.R-project.org/package=nlme" TargetMode="External" /><Relationship Type="http://schemas.openxmlformats.org/officeDocument/2006/relationships/hyperlink" Id="rId39" Target="https://doi.org/10.1016/j.scitotenv.2020.143453" TargetMode="External" /><Relationship Type="http://schemas.openxmlformats.org/officeDocument/2006/relationships/hyperlink" Id="rId32" Target="https://doi.org/10.18637/jss.v067.i01" TargetMode="External" /><Relationship Type="http://schemas.openxmlformats.org/officeDocument/2006/relationships/hyperlink" Id="rId37" Target="https://doi.org/10.2134/jeq2000.00472425002900010003x" TargetMode="External" /><Relationship Type="http://schemas.openxmlformats.org/officeDocument/2006/relationships/hyperlink" Id="rId52" Target="https://github.com/ptochosgeorgos/Article-P-desorption-kinetics" TargetMode="External" /><Relationship Type="http://schemas.openxmlformats.org/officeDocument/2006/relationships/hyperlink" Id="rId53" Target="https://ptochosgeorgos.github.io/Article-P-desorption-kinetics/" TargetMode="External" /><Relationship Type="http://schemas.openxmlformats.org/officeDocument/2006/relationships/hyperlink" Id="rId44" Target="https://www.R-project.org/" TargetMode="External" /></Relationships>
</file>

<file path=word/_rels/footnotes.xml.rels><?xml version="1.0" encoding="UTF-8"?><Relationships xmlns="http://schemas.openxmlformats.org/package/2006/relationships"><Relationship Type="http://schemas.openxmlformats.org/officeDocument/2006/relationships/hyperlink" Id="rId42" Target="https://CRAN.R-project.org/package=nlme" TargetMode="External" /><Relationship Type="http://schemas.openxmlformats.org/officeDocument/2006/relationships/hyperlink" Id="rId39" Target="https://doi.org/10.1016/j.scitotenv.2020.143453" TargetMode="External" /><Relationship Type="http://schemas.openxmlformats.org/officeDocument/2006/relationships/hyperlink" Id="rId32" Target="https://doi.org/10.18637/jss.v067.i01" TargetMode="External" /><Relationship Type="http://schemas.openxmlformats.org/officeDocument/2006/relationships/hyperlink" Id="rId37" Target="https://doi.org/10.2134/jeq2000.00472425002900010003x" TargetMode="External" /><Relationship Type="http://schemas.openxmlformats.org/officeDocument/2006/relationships/hyperlink" Id="rId52" Target="https://github.com/ptochosgeorgos/Article-P-desorption-kinetics" TargetMode="External" /><Relationship Type="http://schemas.openxmlformats.org/officeDocument/2006/relationships/hyperlink" Id="rId53" Target="https://ptochosgeorgos.github.io/Article-P-desorption-kinetics/" TargetMode="External" /><Relationship Type="http://schemas.openxmlformats.org/officeDocument/2006/relationships/hyperlink" Id="rId44" Target="https://www.R-projec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P-release kinetics as a predictor for P-availability in Swiss cropping systems</dc:title>
  <dc:creator>Marc Jerónimo Pérez y Ropero; Frank Liebisch; Emmanuel Frossard</dc:creator>
  <cp:keywords/>
  <dcterms:created xsi:type="dcterms:W3CDTF">2026-04-16T07:35:27Z</dcterms:created>
  <dcterms:modified xsi:type="dcterms:W3CDTF">2026-04-16T07:35:27Z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Traditional static soil tests (STPs) for phosphorus (P) often fail to predict agronomic outcomes because they do not account for the kinetic nature of P supply to plant roots. This study investigated whether P desorption kinetic parameters could serve as more effective predictors. Using soils from the long-term Swiss agricultural experiment (STYCS), a sequential extraction method was refined and modeled with a non-linear approach to derive the maximum equilibrium P intensity (P_{desorb}) and a rate constant (k). The predictive power of these kinetic parameters was compared against standard Swiss STPs (P_{CO_2} and P_{AAE10}) using linear mixed-effects models. For predicting site-normalized yield, STPs were superior, while for national-normalized yield and P-uptake, both methods performed poorly due to dominant pedoclimatic factors. However, the kinetic model demonstrated exceptional success in predicting the long-term P-Balance, with P_{desorb} alone explaining 57% of the variance, whereas STP models showed no predictive power. We conclude that while traditional STPs remain adequate for short-term within-field fertility, kinetic parameters serve as a vastly superior functional proxy for assessing the long-term P status and sustainability of agricultural soils.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sl">
    <vt:lpwstr>apa.csl</vt:lpwstr>
  </property>
  <property fmtid="{D5CDD505-2E9C-101B-9397-08002B2CF9AE}" pid="10" name="date">
    <vt:lpwstr>2026-04-16</vt:lpwstr>
  </property>
  <property fmtid="{D5CDD505-2E9C-101B-9397-08002B2CF9AE}" pid="11" name="engines">
    <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toc-title">
    <vt:lpwstr>Table of contents</vt:lpwstr>
  </property>
</Properties>
</file>